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формы-ввода-данных"/>
    <w:p>
      <w:pPr>
        <w:pStyle w:val="Heading1"/>
      </w:pPr>
      <w:r>
        <w:t xml:space="preserve">Формы ввода данных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строит формы редактирования записей ИРБИС 128. Он используется управляющими модулями, когда нужно открыть карточку записи, создать новый объект, отредактировать поля и подполя, выбрать значения из словарей, прикрепить SID-файлы или сохранить связанные объекты.</w:t>
      </w:r>
    </w:p>
    <w:p>
      <w:pPr>
        <w:pStyle w:val="BodyText"/>
      </w:pPr>
      <w:r>
        <w:rPr>
          <w:rStyle w:val="VerbatimChar"/>
        </w:rPr>
        <w:t xml:space="preserve">he2</w:t>
      </w:r>
      <w:r>
        <w:t xml:space="preserve"> </w:t>
      </w:r>
      <w:r>
        <w:t xml:space="preserve">является инфраструктурным модулем: пользователь обычно видит не сам модуль, а форму редактирования, которую вызвал каталогизатор, администраторский раздел или другой модуль системы.</w:t>
      </w:r>
    </w:p>
    <w:bookmarkStart w:id="13" w:name="назначение-модуля-he2"/>
    <w:p>
      <w:pPr>
        <w:pStyle w:val="Heading2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3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3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bookmarkStart w:id="17" w:name="типы-полей-редактора"/>
    <w:p>
      <w:pPr>
        <w:pStyle w:val="Heading2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14" w:name="общие-параметры"/>
    <w:p>
      <w:pPr>
        <w:pStyle w:val="Heading3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14"/>
    <w:bookmarkStart w:id="15" w:name="группы-типов"/>
    <w:p>
      <w:pPr>
        <w:pStyle w:val="Heading3"/>
      </w:pPr>
      <w:r>
        <w:t xml:space="preserve">2. Группы типов</w:t>
      </w:r>
    </w:p>
    <w:p>
      <w:pPr>
        <w:pStyle w:val="Compact"/>
        <w:numPr>
          <w:ilvl w:val="0"/>
          <w:numId w:val="1005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5"/>
    <w:bookmarkStart w:id="16" w:name="связь-с-сохранением"/>
    <w:p>
      <w:pPr>
        <w:pStyle w:val="Heading3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ввода данных</dc:title>
  <dc:creator/>
  <cp:keywords/>
  <dcterms:created xsi:type="dcterms:W3CDTF">2026-09-02T10:46:16Z</dcterms:created>
  <dcterms:modified xsi:type="dcterms:W3CDTF">2026-09-02T10:46:16Z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