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[I128-2156] Доступность модуля i128f через i128f::getInstance()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f8a6c70f6d3ca7fd4145c8d0dcfcdb558904650"/>
    <w:p>
      <w:pPr>
        <w:pStyle w:val="Heading1"/>
      </w:pPr>
      <w:r>
        <w:t xml:space="preserve">[I128-2156] Доступность модуля i128f через i128f::getInstance()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6"/>
    <w:p>
      <w:pPr>
        <w:pStyle w:val="Heading3"/>
      </w:pPr>
      <w:r>
        <w:t xml:space="preserve">1.1. 🔗 Соответствует задача: I128-2176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[I128-2156] Доступность модуля i128f через i128f::getInstance()</dc:title>
  <dc:creator/>
  <cp:keywords/>
  <dcterms:created xsi:type="dcterms:W3CDTF">2026-08-31T04:59:15Z</dcterms:created>
  <dcterms:modified xsi:type="dcterms:W3CDTF">2026-08-31T04:59:15Z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