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Панель RFID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анель-rfid"/>
    <w:p>
      <w:pPr>
        <w:pStyle w:val="Heading1"/>
      </w:pPr>
      <w:r>
        <w:t xml:space="preserve">Панель RFID</w:t>
      </w:r>
    </w:p>
    <w:p>
      <w:pPr>
        <w:pStyle w:val="FirstParagraph"/>
      </w:pPr>
      <w:r>
        <w:t xml:space="preserve">Панель RFID отображается в АРМ «Книговыдача», если в профиле книговыдачи выбран тип RFID-оборудования. Если RFID в профиле не настроен, панель скрыта и операции выполняются обычными полями ввода штрих-кода.</w:t>
      </w:r>
    </w:p>
    <w:p>
      <w:pPr>
        <w:pStyle w:val="CaptionedFigure"/>
      </w:pPr>
      <w:r>
        <w:drawing>
          <wp:inline>
            <wp:extent cx="5334000" cy="503595"/>
            <wp:effectExtent b="0" l="0" r="0" t="0"/>
            <wp:docPr descr="Рисунок 1 - Панель RFID" title="Панель RFID" id="10" name="Picture"/>
            <a:graphic>
              <a:graphicData uri="http://schemas.openxmlformats.org/drawingml/2006/picture">
                <pic:pic>
                  <pic:nvPicPr>
                    <pic:cNvPr descr="modules/Bookland/Help/Interface/img/bookland-rfid-pan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035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Панель RFID</w:t>
      </w:r>
    </w:p>
    <w:p>
      <w:pPr>
        <w:pStyle w:val="BodyText"/>
      </w:pPr>
      <w:r>
        <w:t xml:space="preserve">Кнопка «Прочитать метки» запускает считывание RFID-меток с подключенного оборудования. После чтения найденные метки отображаются в таблице панели.</w:t>
      </w:r>
    </w:p>
    <w:p>
      <w:pPr>
        <w:pStyle w:val="BodyText"/>
      </w:pPr>
      <w:r>
        <w:t xml:space="preserve">Если считыватель вернул метку читательской карточки, АРМ использует ее как идентификатор читателя и устанавливает текущего читателя. Для рабочих мест с отдельным оборудованием для книг и читательских карточек администратор может задать разные параметры чтения в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; порядок настройки описан в</w:t>
      </w:r>
      <w:r>
        <w:t xml:space="preserve"> </w:t>
      </w:r>
      <w:hyperlink r:id="rId12">
        <w:r>
          <w:rPr>
            <w:rStyle w:val="Hyperlink"/>
          </w:rPr>
          <w:t xml:space="preserve">руководстве администратора</w:t>
        </w:r>
      </w:hyperlink>
      <w:r>
        <w:t xml:space="preserve">.</w:t>
      </w:r>
    </w:p>
    <w:p>
      <w:pPr>
        <w:pStyle w:val="BodyText"/>
      </w:pPr>
      <w:r>
        <w:t xml:space="preserve">Для считывателя Iron Logic Z2 USB на Linux используется тип оборудования</w:t>
      </w:r>
      <w:r>
        <w:t xml:space="preserve"> </w:t>
      </w:r>
      <w:r>
        <w:rPr>
          <w:rStyle w:val="VerbatimChar"/>
        </w:rPr>
        <w:t xml:space="preserve">ID Logic</w:t>
      </w:r>
      <w:r>
        <w:t xml:space="preserve"> </w:t>
      </w:r>
      <w:r>
        <w:t xml:space="preserve">в профиле книговыдачи. На рабочем месте библиотекаря должна быть запущена локальная программа обмена с USB-считывателем; браузер АРМа обращается к ней на этом же компьютере через порт</w:t>
      </w:r>
      <w:r>
        <w:t xml:space="preserve"> </w:t>
      </w:r>
      <w:r>
        <w:rPr>
          <w:rStyle w:val="VerbatimChar"/>
        </w:rPr>
        <w:t xml:space="preserve">6001</w:t>
      </w:r>
      <w:r>
        <w:t xml:space="preserve"> </w:t>
      </w:r>
      <w:r>
        <w:t xml:space="preserve">и путь</w:t>
      </w:r>
      <w:r>
        <w:t xml:space="preserve"> </w:t>
      </w:r>
      <w:r>
        <w:rPr>
          <w:rStyle w:val="VerbatimChar"/>
        </w:rPr>
        <w:t xml:space="preserve">/Send</w:t>
      </w:r>
      <w:r>
        <w:t xml:space="preserve">. Если браузер открыт на другом компьютере или локальная программа не запущена, панель RFID не получит метки, даже если сам сервер ИРБИС 128 доступен.</w:t>
      </w:r>
    </w:p>
    <w:p>
      <w:pPr>
        <w:pStyle w:val="BodyText"/>
      </w:pPr>
      <w:r>
        <w:t xml:space="preserve">В таблице показываются:</w:t>
      </w:r>
    </w:p>
    <w:p>
      <w:pPr>
        <w:pStyle w:val="Compact"/>
        <w:numPr>
          <w:ilvl w:val="0"/>
          <w:numId w:val="1001"/>
        </w:numPr>
      </w:pPr>
      <w:r>
        <w:t xml:space="preserve">RFID-метка;</w:t>
      </w:r>
    </w:p>
    <w:p>
      <w:pPr>
        <w:pStyle w:val="Compact"/>
        <w:numPr>
          <w:ilvl w:val="0"/>
          <w:numId w:val="1001"/>
        </w:numPr>
      </w:pPr>
      <w:r>
        <w:t xml:space="preserve">инвентарный номер;</w:t>
      </w:r>
    </w:p>
    <w:p>
      <w:pPr>
        <w:pStyle w:val="Compact"/>
        <w:numPr>
          <w:ilvl w:val="0"/>
          <w:numId w:val="1001"/>
        </w:numPr>
      </w:pPr>
      <w:r>
        <w:t xml:space="preserve">шифр;</w:t>
      </w:r>
    </w:p>
    <w:p>
      <w:pPr>
        <w:pStyle w:val="Compact"/>
        <w:numPr>
          <w:ilvl w:val="0"/>
          <w:numId w:val="1001"/>
        </w:numPr>
      </w:pPr>
      <w:r>
        <w:t xml:space="preserve">описание издания;</w:t>
      </w:r>
    </w:p>
    <w:p>
      <w:pPr>
        <w:pStyle w:val="Compact"/>
        <w:numPr>
          <w:ilvl w:val="0"/>
          <w:numId w:val="1001"/>
        </w:numPr>
      </w:pPr>
      <w:r>
        <w:t xml:space="preserve">место хранения;</w:t>
      </w:r>
    </w:p>
    <w:p>
      <w:pPr>
        <w:pStyle w:val="Compact"/>
        <w:numPr>
          <w:ilvl w:val="0"/>
          <w:numId w:val="1001"/>
        </w:numPr>
      </w:pPr>
      <w:r>
        <w:t xml:space="preserve">статус;</w:t>
      </w:r>
    </w:p>
    <w:p>
      <w:pPr>
        <w:pStyle w:val="Compact"/>
        <w:numPr>
          <w:ilvl w:val="0"/>
          <w:numId w:val="1001"/>
        </w:numPr>
      </w:pPr>
      <w:r>
        <w:t xml:space="preserve">значение EAS.</w:t>
      </w:r>
    </w:p>
    <w:p>
      <w:pPr>
        <w:pStyle w:val="FirstParagraph"/>
      </w:pPr>
      <w:r>
        <w:t xml:space="preserve">Кнопки «Выдача» и «Возврат» выполняют соответствующую операцию с выбранными метками. Если в профиле включено автоматическое управление EAS, противокражный бит может устанавливаться или сниматься вместе с выдачей и возвратом.</w:t>
      </w:r>
    </w:p>
    <w:p>
      <w:pPr>
        <w:pStyle w:val="BodyText"/>
      </w:pPr>
      <w:r>
        <w:t xml:space="preserve">Кнопки «Установить противокражный бит» и «Снять противокражный бит» позволяют выполнить EAS-операцию отдельно от выдачи или возврата. Они используются, когда нужно подготовить метку или исправить ее состояние без изменения формуляра читателя.</w:t>
      </w:r>
    </w:p>
    <w:p>
      <w:pPr>
        <w:pStyle w:val="BodyText"/>
      </w:pPr>
      <w:r>
        <w:t xml:space="preserve">Если панель видна, но чтение меток не выполняется, проверьте подключение USB-считывателя, запуск локальной программы обмена, выбранный тип RFID в профиле книговыдачи и параметры автоматического управления EAS. Для Iron Logic Z2 USB на Linux в профиле должен быть выбран тип</w:t>
      </w:r>
      <w:r>
        <w:t xml:space="preserve"> </w:t>
      </w:r>
      <w:r>
        <w:rPr>
          <w:rStyle w:val="VerbatimChar"/>
        </w:rPr>
        <w:t xml:space="preserve">ID Logic</w:t>
      </w:r>
      <w:r>
        <w:t xml:space="preserve">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?id=Help/Show&amp;m=Bookland/Help/AdminGuid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Bookland/Help/AdminGuid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Панель RFID</dc:title>
  <dc:creator/>
  <cp:keywords/>
  <dcterms:created xsi:type="dcterms:W3CDTF">2026-08-31T10:54:29Z</dcterms:created>
  <dcterms:modified xsi:type="dcterms:W3CDTF">2026-08-31T10:54:29Z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