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Повторяющиеся группы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овторяющиеся-группы"/>
    <w:p>
      <w:pPr>
        <w:pStyle w:val="Heading1"/>
      </w:pPr>
      <w:r>
        <w:t xml:space="preserve">Повторяющиеся группы</w:t>
      </w:r>
    </w:p>
    <w:p>
      <w:pPr>
        <w:pStyle w:val="FirstParagraph"/>
      </w:pPr>
      <w:r>
        <w:t xml:space="preserve">Повторяющаяся группа состоит из набора команд форматирования, заключенных в круглые скобки. Смысл этих команд обычный, за исключением того, что обработка повторяющихся полей производится особым образом.</w:t>
      </w:r>
    </w:p>
    <w:p>
      <w:pPr>
        <w:pStyle w:val="BodyText"/>
      </w:pPr>
      <w:r>
        <w:t xml:space="preserve">Чтобы понять концепцию повторяющейся группы, надо, прежде всего, знать, каким образом система работает с повторяющимися полями. При отсутствии каких-либо дополнительных указаний система трактует все экземпляры (в том порядке, в котором они находятся в записи) как единую строку текста.</w:t>
      </w:r>
    </w:p>
    <w:p>
      <w:pPr>
        <w:pStyle w:val="BodyText"/>
      </w:pPr>
      <w:r>
        <w:t xml:space="preserve">Повторяющаяся группа изменяет порядок обработки системой экземпляров повторяющихся полей таким образом, что происходит последовательная обработка отдельно каждого экземпляра повторяющегося поля.</w:t>
      </w:r>
    </w:p>
    <w:p>
      <w:pPr>
        <w:pStyle w:val="BodyText"/>
      </w:pPr>
      <w:r>
        <w:t xml:space="preserve">Когда система обнаруживает скобку, открывающую повторяющуюся группу, происходит следующее:</w:t>
      </w:r>
      <w:r>
        <w:t xml:space="preserve"> </w:t>
      </w:r>
      <w:r>
        <w:t xml:space="preserve">1. Счетчик экземпляров (повторений) устанавливается в единицу.</w:t>
      </w:r>
      <w:r>
        <w:t xml:space="preserve"> </w:t>
      </w:r>
      <w:r>
        <w:t xml:space="preserve">2. Заключенный в скобки формат обрабатывается таким образом, что команды вывода полей выводят только те экземпляры повторяющихся полей, которые соответствуют текущему значению счетчика экземпляров.</w:t>
      </w:r>
      <w:r>
        <w:t xml:space="preserve"> </w:t>
      </w:r>
      <w:r>
        <w:t xml:space="preserve">3. Если в процессе текущего просмотра всей повторяющейся группы ничего не выводится (то есть в пределах группы больше не оказалось экземпляров повторяющегося поля), то процесс обработки повторяющейся группы завершается. В противном случае значение счетчика экземпляров увеличивается на 1 и повторяется выполнение шагов 2 и 3.</w:t>
      </w:r>
    </w:p>
    <w:p>
      <w:pPr>
        <w:pStyle w:val="BodyText"/>
      </w:pPr>
      <w:r>
        <w:t xml:space="preserve">Отметим еще раз, что все команды форматирования внутри повторяющейся группы обрабатываются последовательно экземпляр за экземпляром (как объяснялось выше), включая, таким образом, и поля, указываемые в команде IF, выражениях и функциях, а также строковых функциях, используемых как команды. Поэтому нежелательно использовать безусловные литералы в повторяющейся группе. И если все же безусловные литералы используются, то они будут выдаваться на один раз больше, чем это надо.</w:t>
      </w:r>
    </w:p>
    <w:p>
      <w:pPr>
        <w:pStyle w:val="BodyText"/>
      </w:pPr>
      <w:r>
        <w:t xml:space="preserve">В подавляющем большинстве случаев для правильной обработки повторяющихся полей достаточно использование простых команд форматирования, таких, например, как команда режима вывода или повторяющихся литералов, как это показано ниже: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Выходные данные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mpl,v70</w:t>
            </w:r>
          </w:p>
        </w:tc>
        <w:tc>
          <w:tcPr/>
          <w:p>
            <w:pPr>
              <w:pStyle w:val="Compact"/>
            </w:pPr>
            <w:r>
              <w:t xml:space="preserve">Grieve, B.J.Went, F.W.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mdl,v70</w:t>
            </w:r>
          </w:p>
        </w:tc>
        <w:tc>
          <w:tcPr/>
          <w:p>
            <w:pPr>
              <w:pStyle w:val="Compact"/>
            </w:pPr>
            <w:r>
              <w:t xml:space="preserve">Grieve, B.J. Went, F.W.</w:t>
            </w:r>
          </w:p>
        </w:tc>
      </w:tr>
      <w:tr>
        <w:tc>
          <w:tcPr/>
          <w:p>
            <w:pPr>
              <w:pStyle w:val="Compact"/>
            </w:pPr>
            <w:r>
              <w:t xml:space="preserve">v70+|; |</w:t>
            </w:r>
          </w:p>
        </w:tc>
        <w:tc>
          <w:tcPr/>
          <w:p>
            <w:pPr>
              <w:pStyle w:val="Compact"/>
            </w:pPr>
            <w:r>
              <w:t xml:space="preserve">Grieve, B.J.; Went, F.W.</w:t>
            </w:r>
          </w:p>
        </w:tc>
      </w:tr>
    </w:tbl>
    <w:p>
      <w:pPr>
        <w:pStyle w:val="BodyText"/>
      </w:pPr>
      <w:r>
        <w:t xml:space="preserve">Однако, возможны случаи, когда появляется необходимость отформатировать повторяющиеся поля другим способом. Например, иногда необходимо форматировать каждый экземпляр поля с новой строки, чего можно достигнуть только с использованием повторяющейся группы, как это показано ниже: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289"/>
        <w:gridCol w:w="663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Выходные данные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v675/v200^a</w:t>
            </w:r>
          </w:p>
        </w:tc>
        <w:tc>
          <w:tcPr/>
          <w:p>
            <w:pPr>
              <w:pStyle w:val="Compact"/>
            </w:pPr>
            <w:r>
              <w:t xml:space="preserve">623.746623.746(092) Сухой П.О.</w:t>
            </w:r>
            <w:r>
              <w:t xml:space="preserve">Конструктор Сухой. Люди и самолеты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(v675/),v200^a</w:t>
            </w:r>
          </w:p>
        </w:tc>
        <w:tc>
          <w:tcPr/>
          <w:p>
            <w:pPr>
              <w:pStyle w:val="Compact"/>
            </w:pPr>
            <w:r>
              <w:t xml:space="preserve">623.746</w:t>
            </w:r>
            <w:r>
              <w:t xml:space="preserve">623.746(092) Сухой П.О.</w:t>
            </w:r>
            <w:r>
              <w:t xml:space="preserve">Конструктор Сухой. Люди и самолеты</w:t>
            </w:r>
          </w:p>
        </w:tc>
      </w:tr>
    </w:tbl>
    <w:p>
      <w:pPr>
        <w:pStyle w:val="BodyText"/>
      </w:pPr>
      <w:r>
        <w:t xml:space="preserve">В первом случае команда перехода на новую строку (/) выполняется после форматирования всех экземпляров поля 675, а во втором случае она выполняется после каждого экземпляра поля.</w:t>
      </w:r>
    </w:p>
    <w:p>
      <w:pPr>
        <w:pStyle w:val="BodyText"/>
      </w:pPr>
      <w:r>
        <w:t xml:space="preserve">Пример записи ниже иллюстрирует использование повторяющихся полей с подполями (предполагается, что запись содержит два экземпляра поля 20, как это показано в записи ниже). В первом формате использование повторяющейся группы дает возможность вывести различные подполя каждого экземпляра повторяющегося поля в виде таблицы. Второй формат аналогичен первому, но не содержит повторяющейся группы.</w:t>
      </w:r>
    </w:p>
    <w:p>
      <w:pPr>
        <w:pStyle w:val="BodyText"/>
      </w:pPr>
      <w:r>
        <w:t xml:space="preserve">Если нужно вывести литерал перед данными, создаваемыми повторяющейся группой, то можно использовать безусловный или условный литерал. Отметим, однако, что условный литерал должен быть связан с командой вывода поля (повторяющаяся группа не является командой вывода поля). Для этой цели необходимо использовать команды фиктивного вывода поля.</w:t>
      </w:r>
    </w:p>
    <w:p>
      <w:pPr>
        <w:pStyle w:val="BodyText"/>
      </w:pPr>
      <w:r>
        <w:t xml:space="preserve">Содержимое записи:</w:t>
      </w:r>
    </w:p>
    <w:p>
      <w:pPr>
        <w:pStyle w:val="SourceCode"/>
      </w:pPr>
      <w:r>
        <w:rPr>
          <w:rStyle w:val="NormalTok"/>
        </w:rPr>
        <w:t xml:space="preserve"># 1.210: ^aNew York^сMcGraw Hill^d1988</w:t>
      </w:r>
      <w:r>
        <w:br/>
      </w:r>
      <w:r>
        <w:rPr>
          <w:rStyle w:val="NormalTok"/>
        </w:rPr>
        <w:t xml:space="preserve"># 2.210: ^aLondon^cAcademic Press^d1975</w:t>
      </w:r>
    </w:p>
    <w:p>
      <w:pPr>
        <w:pStyle w:val="FirstParagraph"/>
      </w:pPr>
      <w:r>
        <w:t xml:space="preserve">Формат 1:</w:t>
      </w:r>
    </w:p>
    <w:p>
      <w:pPr>
        <w:pStyle w:val="SourceCode"/>
      </w:pPr>
      <w:r>
        <w:rPr>
          <w:rStyle w:val="VerbatimChar"/>
        </w:rPr>
        <w:t xml:space="preserve">/(v210^a,c11,v210^c,c30,v210^d/)</w:t>
      </w:r>
    </w:p>
    <w:p>
      <w:pPr>
        <w:pStyle w:val="FirstParagraph"/>
      </w:pPr>
      <w:r>
        <w:t xml:space="preserve">Вывод:</w:t>
      </w:r>
    </w:p>
    <w:p>
      <w:pPr>
        <w:pStyle w:val="SourceCode"/>
      </w:pPr>
      <w:r>
        <w:rPr>
          <w:rStyle w:val="NormalTok"/>
        </w:rPr>
        <w:t xml:space="preserve">New York    McGraw Hill          1988</w:t>
      </w:r>
      <w:r>
        <w:br/>
      </w:r>
      <w:r>
        <w:rPr>
          <w:rStyle w:val="NormalTok"/>
        </w:rPr>
        <w:t xml:space="preserve">London      Academic Press       1975</w:t>
      </w:r>
    </w:p>
    <w:p>
      <w:pPr>
        <w:pStyle w:val="FirstParagraph"/>
      </w:pPr>
      <w:r>
        <w:t xml:space="preserve">Формат 2:</w:t>
      </w:r>
    </w:p>
    <w:p>
      <w:pPr>
        <w:pStyle w:val="SourceCode"/>
      </w:pPr>
      <w:r>
        <w:rPr>
          <w:rStyle w:val="VerbatimChar"/>
        </w:rPr>
        <w:t xml:space="preserve">/v210^a,c11,v210^c,c30,v210^d/</w:t>
      </w:r>
    </w:p>
    <w:p>
      <w:pPr>
        <w:pStyle w:val="FirstParagraph"/>
      </w:pPr>
      <w:r>
        <w:t xml:space="preserve">Вывод:</w:t>
      </w:r>
    </w:p>
    <w:p>
      <w:pPr>
        <w:pStyle w:val="SourceCode"/>
      </w:pPr>
      <w:r>
        <w:rPr>
          <w:rStyle w:val="NormalTok"/>
        </w:rPr>
        <w:t xml:space="preserve">New YorkLondon</w:t>
      </w:r>
      <w:r>
        <w:br/>
      </w:r>
      <w:r>
        <w:rPr>
          <w:rStyle w:val="NormalTok"/>
        </w:rPr>
        <w:t xml:space="preserve">McGraw HillAcademic Press</w:t>
      </w:r>
      <w:r>
        <w:br/>
      </w:r>
      <w:r>
        <w:rPr>
          <w:rStyle w:val="NormalTok"/>
        </w:rPr>
        <w:t xml:space="preserve">19881975</w:t>
      </w:r>
    </w:p>
    <w:p>
      <w:pPr>
        <w:pStyle w:val="FirstParagraph"/>
      </w:pPr>
      <w:r>
        <w:t xml:space="preserve">@@</w:t>
      </w:r>
      <w:r>
        <w:t xml:space="preserve">@warn</w:t>
      </w:r>
      <w:r>
        <w:t xml:space="preserve"> </w:t>
      </w:r>
      <w:r>
        <w:t xml:space="preserve">Повторяющиеся группы не могут быть вложенными (т.е. повторяющаяся группа не может содержать другую повторяющуюся группу), за исключением случая, когда внутренняя группа содержится в аргументе формата функции REF.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Так, например, допустимым является следующий формат:</w:t>
      </w:r>
    </w:p>
    <w:p>
      <w:pPr>
        <w:pStyle w:val="SourceCode"/>
      </w:pPr>
      <w:r>
        <w:rPr>
          <w:rStyle w:val="VerbatimChar"/>
        </w:rPr>
        <w:t xml:space="preserve">(v10,ref(val(v20),v10,(v20,v30)))</w:t>
      </w:r>
    </w:p>
    <w:p>
      <w:pPr>
        <w:pStyle w:val="FirstParagraph"/>
      </w:pPr>
      <w:r>
        <w:t xml:space="preserve">но приведенный ниже формат является недопустимым, что вызовет сообщение об ошибке:</w:t>
      </w:r>
    </w:p>
    <w:p>
      <w:pPr>
        <w:pStyle w:val="SourceCode"/>
      </w:pPr>
      <w:r>
        <w:rPr>
          <w:rStyle w:val="VerbatimChar"/>
        </w:rPr>
        <w:t xml:space="preserve">(v10,(v20,v30))</w:t>
      </w:r>
    </w:p>
    <w:p>
      <w:pPr>
        <w:pStyle w:val="FirstParagraph"/>
      </w:pPr>
      <w:r>
        <w:t xml:space="preserve">Использование повторяющейся группы является обязательным в следующих случаях:</w:t>
      </w:r>
      <w:r>
        <w:t xml:space="preserve"> </w:t>
      </w:r>
      <w:r>
        <w:t xml:space="preserve">1. Использование повторяющегося поля в качестве аргумента функции L.</w:t>
      </w:r>
      <w:r>
        <w:t xml:space="preserve"> </w:t>
      </w:r>
      <w:r>
        <w:t xml:space="preserve">2. Первый аргумент функции REF ссылается на повторяющееся поле.</w:t>
      </w:r>
    </w:p>
    <w:p>
      <w:pPr>
        <w:pStyle w:val="BodyText"/>
      </w:pPr>
      <w:r>
        <w:t xml:space="preserve">Также нужно учитывать возможность употребления повторяющейся группы, когда повторяющееся поле используется в логическом выражении команды IF.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Повторяющиеся группы</dc:title>
  <dc:creator/>
  <cp:keywords/>
  <dcterms:created xsi:type="dcterms:W3CDTF">2026-08-31T07:56:06Z</dcterms:created>
  <dcterms:modified xsi:type="dcterms:W3CDTF">2026-08-31T07:56:06Z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