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Базы данных и провайдеры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базы-данных-и-провайдеры-данных"/>
    <w:p>
      <w:pPr>
        <w:pStyle w:val="Heading1"/>
      </w:pPr>
      <w:r>
        <w:t xml:space="preserve">Базы данных и провайдеры данных</w:t>
      </w:r>
    </w:p>
    <w:p>
      <w:pPr>
        <w:pStyle w:val="FirstParagraph"/>
      </w:pPr>
      <w:r>
        <w:t xml:space="preserve">Сервер приложений ИРБИС 128 работает с базами данных через провайдеры данных. Провайдер скрывает особенности конкретного источника данных и предоставляет системе единый набор операций: подключение, поиск, чтение, форматирование и запись.</w:t>
      </w:r>
    </w:p>
    <w:p>
      <w:pPr>
        <w:pStyle w:val="BodyText"/>
      </w:pPr>
      <w:r>
        <w:t xml:space="preserve">Настройка провайдера выполняется в АРМ «Администратор» для конкретной записи БД. Окно настройки открывается из административных действий с базой данных и сохраняет параметры в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INI-файла БД.</w:t>
      </w:r>
    </w:p>
    <w:bookmarkStart w:id="9" w:name="типы-провайдеров"/>
    <w:p>
      <w:pPr>
        <w:pStyle w:val="Heading2"/>
      </w:pPr>
      <w:r>
        <w:t xml:space="preserve">1. Типы провайдеров</w:t>
      </w:r>
    </w:p>
    <w:p>
      <w:pPr>
        <w:pStyle w:val="FirstParagraph"/>
      </w:pPr>
      <w:r>
        <w:t xml:space="preserve">Текущий редактор свойств провайдера поддерживает следующие типы: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Irbis64r</w:t>
            </w:r>
          </w:p>
        </w:tc>
        <w:tc>
          <w:tcPr/>
          <w:p>
            <w:pPr>
              <w:pStyle w:val="Compact"/>
            </w:pPr>
            <w:r>
              <w:t xml:space="preserve">Подключение к TCP-серверу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jirb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jirb2</w:t>
            </w:r>
          </w:p>
        </w:tc>
        <w:tc>
          <w:tcPr/>
          <w:p>
            <w:pPr>
              <w:pStyle w:val="Compact"/>
            </w:pPr>
            <w:r>
              <w:t xml:space="preserve">Подключение к J-ИРБИС.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MarcWeb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MarcWeb2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VTLS</w:t>
            </w:r>
          </w:p>
        </w:tc>
        <w:tc>
          <w:tcPr/>
          <w:p>
            <w:pPr>
              <w:pStyle w:val="Compact"/>
            </w:pPr>
            <w:r>
              <w:t xml:space="preserve">Подключение к внешним Web-каталогам соответствующих типов.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webirb</w:t>
            </w:r>
          </w:p>
        </w:tc>
        <w:tc>
          <w:tcPr/>
          <w:p>
            <w:pPr>
              <w:pStyle w:val="Compact"/>
            </w:pPr>
            <w:r>
              <w:t xml:space="preserve">Подключение к Web-ИРБИС 32/64/64+.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</w:t>
            </w:r>
          </w:p>
        </w:tc>
        <w:tc>
          <w:tcPr/>
          <w:p>
            <w:pPr>
              <w:pStyle w:val="Compact"/>
            </w:pPr>
            <w:r>
              <w:t xml:space="preserve">Подключение к ИРБИС 64/128.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raidb0</w:t>
            </w:r>
          </w:p>
        </w:tc>
        <w:tc>
          <w:tcPr/>
          <w:p>
            <w:pPr>
              <w:pStyle w:val="Compact"/>
            </w:pPr>
            <w:r>
              <w:t xml:space="preserve">Логическое объединение нескольких БД в одну.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</w:t>
            </w:r>
          </w:p>
        </w:tc>
        <w:tc>
          <w:tcPr/>
          <w:p>
            <w:pPr>
              <w:pStyle w:val="Compact"/>
            </w:pPr>
            <w:r>
              <w:t xml:space="preserve">Локальная БД на основном сервере ИРБИС 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EKBSON</w:t>
            </w:r>
          </w:p>
        </w:tc>
        <w:tc>
          <w:tcPr/>
          <w:p>
            <w:pPr>
              <w:pStyle w:val="Compact"/>
            </w:pPr>
            <w:r>
              <w:t xml:space="preserve">Сводная БД ИС ЭКБСОН.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z3950</w:t>
            </w:r>
          </w:p>
        </w:tc>
        <w:tc>
          <w:tcPr/>
          <w:p>
            <w:pPr>
              <w:pStyle w:val="Compact"/>
            </w:pPr>
            <w:r>
              <w:t xml:space="preserve">Подключение к серверу Z39.50.</w:t>
            </w:r>
          </w:p>
        </w:tc>
      </w:tr>
    </w:tbl>
    <w:p>
      <w:pPr>
        <w:pStyle w:val="BodyText"/>
      </w:pPr>
      <w:r>
        <w:t xml:space="preserve">При открытии БД система читает</w:t>
      </w:r>
      <w:r>
        <w:t xml:space="preserve"> </w:t>
      </w:r>
      <w:r>
        <w:rPr>
          <w:rStyle w:val="VerbatimChar"/>
        </w:rPr>
        <w:t xml:space="preserve">PROVIDER.TYPE</w:t>
      </w:r>
      <w:r>
        <w:t xml:space="preserve"> </w:t>
      </w:r>
      <w:r>
        <w:t xml:space="preserve">и выбирает соответствующий модуль провайдера. Например, для типа</w:t>
      </w:r>
      <w:r>
        <w:t xml:space="preserve"> </w:t>
      </w:r>
      <w:r>
        <w:rPr>
          <w:rStyle w:val="VerbatimChar"/>
        </w:rPr>
        <w:t xml:space="preserve">webirb</w:t>
      </w:r>
      <w:r>
        <w:t xml:space="preserve"> </w:t>
      </w:r>
      <w:r>
        <w:t xml:space="preserve">используется модуль</w:t>
      </w:r>
      <w:r>
        <w:t xml:space="preserve"> </w:t>
      </w:r>
      <w:r>
        <w:rPr>
          <w:rStyle w:val="VerbatimChar"/>
        </w:rPr>
        <w:t xml:space="preserve">DP_webirb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DP_raidb0</w:t>
      </w:r>
      <w:r>
        <w:t xml:space="preserve">.</w:t>
      </w:r>
    </w:p>
    <w:bookmarkEnd w:id="9"/>
    <w:bookmarkStart w:id="10" w:name="общие-параметры"/>
    <w:p>
      <w:pPr>
        <w:pStyle w:val="Heading2"/>
      </w:pPr>
      <w:r>
        <w:t xml:space="preserve">2. Общие параметры</w:t>
      </w:r>
    </w:p>
    <w:p>
      <w:pPr>
        <w:pStyle w:val="FirstParagraph"/>
      </w:pPr>
      <w:r>
        <w:t xml:space="preserve">Набор полей в окне настройки зависит от выбранного типа провайдера.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Использование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Тип провайдера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HOST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PORT</w:t>
            </w:r>
          </w:p>
        </w:tc>
        <w:tc>
          <w:tcPr/>
          <w:p>
            <w:pPr>
              <w:pStyle w:val="Compact"/>
            </w:pPr>
            <w:r>
              <w:t xml:space="preserve">Адрес и порт подключаемого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TIMEOUT</w:t>
            </w:r>
          </w:p>
        </w:tc>
        <w:tc>
          <w:tcPr/>
          <w:p>
            <w:pPr>
              <w:pStyle w:val="Compact"/>
            </w:pPr>
            <w:r>
              <w:t xml:space="preserve">Таймаут соединения.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PW</w:t>
            </w:r>
          </w:p>
        </w:tc>
        <w:tc>
          <w:tcPr/>
          <w:p>
            <w:pPr>
              <w:pStyle w:val="Compact"/>
            </w:pPr>
            <w:r>
              <w:t xml:space="preserve">Учетные данные для провайдеров, которые поддерживают авторизацию.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REMOTECP</w:t>
            </w:r>
          </w:p>
        </w:tc>
        <w:tc>
          <w:tcPr/>
          <w:p>
            <w:pPr>
              <w:pStyle w:val="Compact"/>
            </w:pPr>
            <w:r>
              <w:t xml:space="preserve">Кодировка данных удаленной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PROXY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PROXYLOGIN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PROXYPASSWORD</w:t>
            </w:r>
          </w:p>
        </w:tc>
        <w:tc>
          <w:tcPr/>
          <w:p>
            <w:pPr>
              <w:pStyle w:val="Compact"/>
            </w:pPr>
            <w:r>
              <w:t xml:space="preserve">Параметры прокси-сервера для провайдеров, где доступ выполняется через HTTP.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Формат для разбора записей или ответа внешней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FSTINNAME</w:t>
            </w:r>
          </w:p>
        </w:tc>
        <w:tc>
          <w:tcPr/>
          <w:p>
            <w:pPr>
              <w:pStyle w:val="Compact"/>
            </w:pPr>
            <w:r>
              <w:t xml:space="preserve">Формат входных записей для провайдеров, которым нужна конвертация.</w:t>
            </w:r>
          </w:p>
        </w:tc>
      </w:tr>
    </w:tbl>
    <w:bookmarkEnd w:id="10"/>
    <w:bookmarkStart w:id="11" w:name="провайдер-raidb0"/>
    <w:p>
      <w:pPr>
        <w:pStyle w:val="Heading2"/>
      </w:pPr>
      <w:r>
        <w:t xml:space="preserve">3. Провайдер</w:t>
      </w:r>
      <w:r>
        <w:t xml:space="preserve"> </w:t>
      </w:r>
      <w:r>
        <w:rPr>
          <w:rStyle w:val="VerbatimChar"/>
        </w:rPr>
        <w:t xml:space="preserve">raidb0</w:t>
      </w:r>
    </w:p>
    <w:p>
      <w:pPr>
        <w:pStyle w:val="FirstParagraph"/>
      </w:pPr>
      <w:r>
        <w:t xml:space="preserve">Провайдер</w:t>
      </w:r>
      <w:r>
        <w:t xml:space="preserve"> </w:t>
      </w:r>
      <w:r>
        <w:rPr>
          <w:rStyle w:val="VerbatimChar"/>
        </w:rPr>
        <w:t xml:space="preserve">raidb0</w:t>
      </w:r>
      <w:r>
        <w:t xml:space="preserve"> </w:t>
      </w:r>
      <w:r>
        <w:t xml:space="preserve">используется, когда одну логическую БД нужно собрать из нескольких физических БД. В настройках указываются подключенные БД и вес записи в каждую из них.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SUBDBS_COUNT</w:t>
            </w:r>
          </w:p>
        </w:tc>
        <w:tc>
          <w:tcPr/>
          <w:p>
            <w:pPr>
              <w:pStyle w:val="Compact"/>
            </w:pPr>
            <w:r>
              <w:t xml:space="preserve">Количество подключенных БД. Заполняется автоматически при сохранении настроек.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SUBDBSCFG_&lt;N&gt;_NAME</w:t>
            </w:r>
          </w:p>
        </w:tc>
        <w:tc>
          <w:tcPr/>
          <w:p>
            <w:pPr>
              <w:pStyle w:val="Compact"/>
            </w:pPr>
            <w:r>
              <w:t xml:space="preserve">Имя подключенной БД с номером</w:t>
            </w:r>
            <w:r>
              <w:t xml:space="preserve"> </w:t>
            </w:r>
            <w:r>
              <w:rPr>
                <w:rStyle w:val="VerbatimChar"/>
              </w:rPr>
              <w:t xml:space="preserve">&lt;N&gt;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SUBDBSCFG_&lt;N&gt;_WRITEWEIGHT</w:t>
            </w:r>
          </w:p>
        </w:tc>
        <w:tc>
          <w:tcPr/>
          <w:p>
            <w:pPr>
              <w:pStyle w:val="Compact"/>
            </w:pPr>
            <w:r>
              <w:t xml:space="preserve">Вес записи в указанную БД. Используется для распределения записей между подключенными БД.</w:t>
            </w:r>
          </w:p>
        </w:tc>
      </w:tr>
    </w:tbl>
    <w:bookmarkEnd w:id="11"/>
    <w:bookmarkStart w:id="13" w:name="провайдер-z39.50"/>
    <w:p>
      <w:pPr>
        <w:pStyle w:val="Heading2"/>
      </w:pPr>
      <w:r>
        <w:t xml:space="preserve">4. Провайдер Z39.50</w:t>
      </w:r>
    </w:p>
    <w:p>
      <w:pPr>
        <w:pStyle w:val="FirstParagraph"/>
      </w:pPr>
      <w:r>
        <w:t xml:space="preserve">Для работы провайдера Z39.50 требуется PHP-модуль</w:t>
      </w:r>
      <w:r>
        <w:t xml:space="preserve"> </w:t>
      </w:r>
      <w:r>
        <w:rPr>
          <w:rStyle w:val="VerbatimChar"/>
        </w:rPr>
        <w:t xml:space="preserve">yaz</w:t>
      </w:r>
      <w:r>
        <w:t xml:space="preserve">. Это требование также зафиксировано в разделе</w:t>
      </w:r>
      <w:r>
        <w:t xml:space="preserve"> </w:t>
      </w:r>
      <w:hyperlink r:id="rId12">
        <w:r>
          <w:rPr>
            <w:rStyle w:val="Hyperlink"/>
          </w:rPr>
          <w:t xml:space="preserve">системных требований</w:t>
        </w:r>
      </w:hyperlink>
      <w:r>
        <w:t xml:space="preserve">.</w:t>
      </w:r>
    </w:p>
    <w:p>
      <w:pPr>
        <w:pStyle w:val="BodyText"/>
      </w:pPr>
      <w:r>
        <w:t xml:space="preserve">Основные параметры Z39.50:</w:t>
      </w:r>
      <w:r>
        <w:t xml:space="preserve"> </w:t>
      </w:r>
      <w:r>
        <w:rPr>
          <w:rStyle w:val="VerbatimChar"/>
        </w:rPr>
        <w:t xml:space="preserve">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PW</w:t>
      </w:r>
      <w:r>
        <w:t xml:space="preserve">,</w:t>
      </w:r>
      <w:r>
        <w:t xml:space="preserve"> </w:t>
      </w:r>
      <w:r>
        <w:rPr>
          <w:rStyle w:val="VerbatimChar"/>
        </w:rPr>
        <w:t xml:space="preserve">DB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REMOTECP</w:t>
      </w:r>
      <w:r>
        <w:t xml:space="preserve">,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FSTINNAME</w:t>
      </w:r>
      <w:r>
        <w:t xml:space="preserve">.</w:t>
      </w:r>
    </w:p>
    <w:bookmarkEnd w:id="13"/>
    <w:bookmarkStart w:id="16" w:name="связь-с-основным-провайдером-системы"/>
    <w:p>
      <w:pPr>
        <w:pStyle w:val="Heading2"/>
      </w:pPr>
      <w:r>
        <w:t xml:space="preserve">5. Связь с основным провайдером системы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$OPTIONS['localProvider']</w:t>
      </w:r>
      <w:r>
        <w:t xml:space="preserve"> </w:t>
      </w:r>
      <w:r>
        <w:t xml:space="preserve">задает основной провайдер данных системы. Для локального файлового доступа может использоваться нативный провайдер</w:t>
      </w:r>
      <w:r>
        <w:t xml:space="preserve"> </w:t>
      </w:r>
      <w:hyperlink r:id="rId14">
        <w:r>
          <w:rPr>
            <w:rStyle w:val="Hyperlink"/>
          </w:rPr>
          <w:t xml:space="preserve">DP_Irbis64Native</w:t>
        </w:r>
      </w:hyperlink>
      <w:r>
        <w:t xml:space="preserve">. Его текущее значение и доступные системные параметры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параметров ядра</w:t>
        </w:r>
      </w:hyperlink>
      <w:r>
        <w:t xml:space="preserve">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DP_Irbis64Native/Root" TargetMode="External" /><Relationship Type="http://schemas.openxmlformats.org/officeDocument/2006/relationships/hyperlink" Id="rId15" Target="?id=Help/Show&amp;m=Help/Server128/SystemCore/OPTIONS" TargetMode="External" /><Relationship Type="http://schemas.openxmlformats.org/officeDocument/2006/relationships/hyperlink" Id="rId12" Target="?id=Help/Show&amp;m=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Базы данных и провайдеры данных</dc:title>
  <dc:creator/>
  <cp:keywords/>
  <dcterms:created xsi:type="dcterms:W3CDTF">2026-09-01T06:58:14Z</dcterms:created>
  <dcterms:modified xsi:type="dcterms:W3CDTF">2026-09-01T06:58:14Z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