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workflowscreen"/>
    <w:p>
      <w:pPr>
        <w:pStyle w:val="Heading1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9" w:name="запись-workflowscreen"/>
    <w:p>
      <w:pPr>
        <w:pStyle w:val="Heading2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9"/>
    <w:bookmarkStart w:id="10" w:name="схема-he3"/>
    <w:p>
      <w:pPr>
        <w:pStyle w:val="Heading2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10"/>
    <w:bookmarkStart w:id="11" w:name="методы-ввода-128001-и-128002"/>
    <w:p>
      <w:pPr>
        <w:pStyle w:val="Heading2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11"/>
    <w:bookmarkStart w:id="12" w:name="публичная-форма"/>
    <w:p>
      <w:pPr>
        <w:pStyle w:val="Heading2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12"/>
    <w:bookmarkStart w:id="13" w:name="использование"/>
    <w:p>
      <w:pPr>
        <w:pStyle w:val="Heading2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</dc:title>
  <dc:creator/>
  <cp:keywords/>
  <dcterms:created xsi:type="dcterms:W3CDTF">2026-10-23T21:10:02Z</dcterms:created>
  <dcterms:modified xsi:type="dcterms:W3CDTF">2026-10-23T21:10:02Z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