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[I128-2106] В редакторе записи добавлена возможность открывать окно со средствами ввода при нажатии кнопки enter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c7990dbb6c6b464a97288deeceae5d663f8c2b"/>
    <w:p>
      <w:pPr>
        <w:pStyle w:val="Heading1"/>
      </w:pPr>
      <w:r>
        <w:t xml:space="preserve">[I128-2106] В редакторе записи добавлена возможность открывать окно со средствами ввода при нажатии кнопки enter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05"/>
    <w:p>
      <w:pPr>
        <w:pStyle w:val="Heading3"/>
      </w:pPr>
      <w:r>
        <w:t xml:space="preserve">1.1. 🔗 Соответствует задача: I128-2105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[I128-2105]</w:t>
        </w:r>
      </w:hyperlink>
      <w:r>
        <w:t xml:space="preserve"> </w:t>
      </w:r>
      <w:r>
        <w:t xml:space="preserve">В редакторе записи добавлена возможность открывать окно со средствами ввода при нажатии кнопки enter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[I128-2106] В редакторе записи добавлена возможность открывать окно со средствами ввода при нажатии кнопки enter</dc:title>
  <dc:creator/>
  <cp:keywords/>
  <dcterms:created xsi:type="dcterms:W3CDTF">2026-08-30T17:49:16Z</dcterms:created>
  <dcterms:modified xsi:type="dcterms:W3CDTF">2026-08-30T17:49:16Z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