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[I128-1815] Применить изменения D3 к версии 2025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c7adb14adda5ed2dc0ee5b2babd8ece98c42c7"/>
    <w:p>
      <w:pPr>
        <w:pStyle w:val="Heading1"/>
      </w:pPr>
      <w:r>
        <w:t xml:space="preserve">[I128-1815] Применить изменения D3 к версии 2025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03.12.2025 11:52</w:t>
      </w:r>
    </w:p>
    <w:p>
      <w:pPr>
        <w:pStyle w:val="BodyText"/>
      </w:pPr>
      <w:r>
        <w:t xml:space="preserve">Проверить необходимость изменений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[I128-1815] Применить изменения D3 к версии 2025</dc:title>
  <dc:creator/>
  <cp:keywords/>
  <dcterms:created xsi:type="dcterms:W3CDTF">2026-08-31T16:48:27Z</dcterms:created>
  <dcterms:modified xsi:type="dcterms:W3CDTF">2026-08-31T16:48:27Z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