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[I128-2223] Функция Bookland::GetDbBookByRdrOcc(ObjectDataRecord $rdrRec, int $rdrOcc): ObjectDataDatabase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659d801c90e26f12c184202c99dd0c27954fda"/>
    <w:p>
      <w:pPr>
        <w:pStyle w:val="Heading1"/>
      </w:pPr>
      <w:r>
        <w:t xml:space="preserve">[I128-2223] Функция Bookland::GetDbBookByRdrOcc(ObjectDataRecord $rdrRec, int $rdrOcc): ObjectDataDatabase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2"/>
    <w:p>
      <w:pPr>
        <w:pStyle w:val="Heading3"/>
      </w:pPr>
      <w:r>
        <w:t xml:space="preserve">1.1. 🔗 Соответствует задача: I128-2232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[I128-2232]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2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2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[I128-2223] Функция Bookland::GetDbBookByRdrOcc(ObjectDataRecord $rdrRec, int $rdrOcc): ObjectDataDatabase</dc:title>
  <dc:creator/>
  <cp:keywords/>
  <dcterms:created xsi:type="dcterms:W3CDTF">2026-10-24T02:27:45Z</dcterms:created>
  <dcterms:modified xsi:type="dcterms:W3CDTF">2026-10-24T02:27:45Z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