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[I128-2023] Внести изменения в БД RSUDC в соотвествии с версией 2026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9ef214533a719327d594cd1bb2c92416db29d"/>
    <w:p>
      <w:pPr>
        <w:pStyle w:val="Heading1"/>
      </w:pPr>
      <w:r>
        <w:t xml:space="preserve">[I128-2023] Внести изменения в БД RSUDC в соотвествии с версией 2026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15.01.2026 17:02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36"/>
    <w:p>
      <w:pPr>
        <w:pStyle w:val="Heading3"/>
      </w:pPr>
      <w:r>
        <w:t xml:space="preserve">1.1. 🔗 Соответствует задача: I128-2036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[I128-2036]</w:t>
        </w:r>
      </w:hyperlink>
      <w:r>
        <w:t xml:space="preserve"> </w:t>
      </w:r>
      <w:r>
        <w:t xml:space="preserve">Внести изменения в БД RSUDC в соотвествии с версией 2026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[I128-2023] Внести изменения в БД RSUDC в соотвествии с версией 2026</dc:title>
  <dc:creator/>
  <cp:keywords/>
  <dcterms:created xsi:type="dcterms:W3CDTF">2026-10-15T12:23:36Z</dcterms:created>
  <dcterms:modified xsi:type="dcterms:W3CDTF">2026-10-15T12:23:36Z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