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в сводный каталог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в-сводный-каталог"/>
    <w:p>
      <w:pPr>
        <w:pStyle w:val="Heading1"/>
      </w:pPr>
      <w:r>
        <w:t xml:space="preserve">Импорт в сводный каталог</w:t>
      </w:r>
    </w:p>
    <w:p>
      <w:pPr>
        <w:pStyle w:val="FirstParagraph"/>
      </w:pPr>
      <w:r>
        <w:t xml:space="preserve">Этот раздел описывает методику импорта записей в сводный каталог книг, когда в одной сводной записи отражается наличие издания в разных библиотеках, городах или организациях. Пользовательские действия с уже существующей БД сводного каталога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Работа с БД сводного каталога</w:t>
        </w:r>
      </w:hyperlink>
      <w:r>
        <w:t xml:space="preserve">, а администрирование современной сборки сводного каталога - 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bookmarkStart w:id="10" w:name="назначение-импорта-со-слиянием"/>
    <w:p>
      <w:pPr>
        <w:pStyle w:val="Heading2"/>
      </w:pPr>
      <w:r>
        <w:t xml:space="preserve">1. Назначение импорта со слиянием</w:t>
      </w:r>
    </w:p>
    <w:p>
      <w:pPr>
        <w:pStyle w:val="FirstParagraph"/>
      </w:pPr>
      <w:r>
        <w:t xml:space="preserve">Для ведения сводного каталога может использоваться режим импорта со слиянием. Входные записи должны быть в формате ИРБИС.</w:t>
      </w:r>
    </w:p>
    <w:p>
      <w:pPr>
        <w:pStyle w:val="BodyText"/>
      </w:pPr>
      <w:r>
        <w:t xml:space="preserve">При выполнении импорта для каждой входной записи система проверяет наличие дублетной записи в базе сводного каталога:</w:t>
      </w:r>
    </w:p>
    <w:p>
      <w:pPr>
        <w:pStyle w:val="Compact"/>
        <w:numPr>
          <w:ilvl w:val="0"/>
          <w:numId w:val="1001"/>
        </w:numPr>
      </w:pPr>
      <w:r>
        <w:t xml:space="preserve">если дублет найден, существующая запись корректируется;</w:t>
      </w:r>
    </w:p>
    <w:p>
      <w:pPr>
        <w:pStyle w:val="Compact"/>
        <w:numPr>
          <w:ilvl w:val="0"/>
          <w:numId w:val="1001"/>
        </w:numPr>
      </w:pPr>
      <w:r>
        <w:t xml:space="preserve">если дублет не найден, создаётся новая запись, в которую переносятся данные импортируемой записи.</w:t>
      </w:r>
    </w:p>
    <w:p>
      <w:pPr>
        <w:pStyle w:val="FirstParagraph"/>
      </w:pPr>
      <w:r>
        <w:t xml:space="preserve">При корректировке действует общее правило: неповторяющиеся поля заменяются, а к повторяющимся полям приписываются оригинальные данные из импортируемой записи.</w:t>
      </w:r>
    </w:p>
    <w:p>
      <w:pPr>
        <w:pStyle w:val="BodyText"/>
      </w:pPr>
      <w:r>
        <w:t xml:space="preserve">Для идентификации дублетов используется свёртка библиографического описания, аналогичная сверке на дублетность при ручном вводе новых записей. Это важно для варианта, когда шифры в сводном каталоге заранее неизвестны.</w:t>
      </w:r>
    </w:p>
    <w:p>
      <w:pPr>
        <w:pStyle w:val="BodyText"/>
      </w:pPr>
      <w:r>
        <w:t xml:space="preserve">В обоих режимах импорта анализируются и учитываются дублеты внутри входного файла.</w:t>
      </w:r>
    </w:p>
    <w:bookmarkEnd w:id="10"/>
    <w:bookmarkStart w:id="11" w:name="общие-параметры-запуска"/>
    <w:p>
      <w:pPr>
        <w:pStyle w:val="Heading2"/>
      </w:pPr>
      <w:r>
        <w:t xml:space="preserve">2. Общие параметры запуска</w:t>
      </w:r>
    </w:p>
    <w:p>
      <w:pPr>
        <w:pStyle w:val="FirstParagraph"/>
      </w:pPr>
      <w:r>
        <w:t xml:space="preserve">При импорте со слиянием каталогизатор или технолог выбирает:</w:t>
      </w:r>
    </w:p>
    <w:p>
      <w:pPr>
        <w:pStyle w:val="Compact"/>
        <w:numPr>
          <w:ilvl w:val="0"/>
          <w:numId w:val="1002"/>
        </w:numPr>
      </w:pPr>
      <w:r>
        <w:t xml:space="preserve">таблицу переформатирования;</w:t>
      </w:r>
    </w:p>
    <w:p>
      <w:pPr>
        <w:pStyle w:val="Compact"/>
        <w:numPr>
          <w:ilvl w:val="0"/>
          <w:numId w:val="1002"/>
        </w:numPr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Слияние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формат ключа или задание глобальной корректировки, в зависимости от выбранного варианта;</w:t>
      </w:r>
    </w:p>
    <w:p>
      <w:pPr>
        <w:pStyle w:val="Compact"/>
        <w:numPr>
          <w:ilvl w:val="0"/>
          <w:numId w:val="1002"/>
        </w:numPr>
      </w:pPr>
      <w:r>
        <w:t xml:space="preserve">файл импорта.</w:t>
      </w:r>
    </w:p>
    <w:p>
      <w:pPr>
        <w:pStyle w:val="FirstParagraph"/>
      </w:pPr>
      <w:r>
        <w:t xml:space="preserve">В исходной технологии используются два варианта: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Таблица</w:t>
            </w:r>
          </w:p>
        </w:tc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Простая приписка сигл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ImpSvk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Импорт - Слияние - Формат ключа</w:t>
            </w:r>
          </w:p>
        </w:tc>
        <w:tc>
          <w:tcPr/>
          <w:p>
            <w:pPr>
              <w:pStyle w:val="Compact"/>
            </w:pPr>
            <w:r>
              <w:t xml:space="preserve">Добавить сиглы держателей документов к существующей записи или создать новую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Приоритет сигл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ImpSvk_Sigla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Импорт - Слияние - Глобальная</w:t>
            </w:r>
          </w:p>
        </w:tc>
        <w:tc>
          <w:tcPr/>
          <w:p>
            <w:pPr>
              <w:pStyle w:val="Compact"/>
            </w:pPr>
            <w:r>
              <w:t xml:space="preserve">Учитывать приоритетные организации при замене библиографических и индексных данных</w:t>
            </w:r>
          </w:p>
        </w:tc>
      </w:tr>
    </w:tbl>
    <w:bookmarkEnd w:id="11"/>
    <w:bookmarkStart w:id="12" w:name="приписка-сигл-держателей"/>
    <w:p>
      <w:pPr>
        <w:pStyle w:val="Heading2"/>
      </w:pPr>
      <w:r>
        <w:t xml:space="preserve">3. Приписка сигл держателей</w:t>
      </w:r>
    </w:p>
    <w:p>
      <w:pPr>
        <w:pStyle w:val="FirstParagraph"/>
      </w:pPr>
      <w:r>
        <w:t xml:space="preserve">Простой вариант предназначен для добавления сигл библиотек-держателей документов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записи сводного каталога.</w:t>
      </w:r>
    </w:p>
    <w:p>
      <w:pPr>
        <w:pStyle w:val="BodyText"/>
      </w:pPr>
      <w:r>
        <w:t xml:space="preserve">Если в сводном каталоге уже есть дублетная запись, к ней приписывается сигла держателя. Если дублетной записи нет, создаётся новая запись.</w:t>
      </w:r>
    </w:p>
    <w:p>
      <w:pPr>
        <w:pStyle w:val="BodyText"/>
      </w:pPr>
      <w:r>
        <w:t xml:space="preserve">Для этого варианта используются:</w:t>
      </w:r>
    </w:p>
    <w:p>
      <w:pPr>
        <w:pStyle w:val="Compact"/>
        <w:numPr>
          <w:ilvl w:val="0"/>
          <w:numId w:val="1003"/>
        </w:numPr>
      </w:pPr>
      <w:r>
        <w:t xml:space="preserve">таблица переформатирования</w:t>
      </w:r>
      <w:r>
        <w:t xml:space="preserve"> </w:t>
      </w:r>
      <w:r>
        <w:rPr>
          <w:rStyle w:val="VerbatimChar"/>
        </w:rPr>
        <w:t xml:space="preserve">ImpSvk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ключа</w:t>
      </w:r>
      <w:r>
        <w:t xml:space="preserve"> </w:t>
      </w:r>
      <w:r>
        <w:rPr>
          <w:rStyle w:val="VerbatimChar"/>
        </w:rPr>
        <w:t xml:space="preserve">ImpSvk</w:t>
      </w:r>
      <w:r>
        <w:t xml:space="preserve">.</w:t>
      </w:r>
    </w:p>
    <w:p>
      <w:pPr>
        <w:pStyle w:val="FirstParagraph"/>
      </w:pPr>
      <w:r>
        <w:t xml:space="preserve">Этот режим подходит, когда цель импорта - прежде всего зафиксировать наличие документа у участника сводного каталога, не вводя сложную логику приоритетного замещения библиографических данных.</w:t>
      </w:r>
    </w:p>
    <w:bookmarkEnd w:id="12"/>
    <w:bookmarkStart w:id="13" w:name="импорт-с-приоритетом-сигл"/>
    <w:p>
      <w:pPr>
        <w:pStyle w:val="Heading2"/>
      </w:pPr>
      <w:r>
        <w:t xml:space="preserve">4. Импорт с приоритетом сигл</w:t>
      </w:r>
    </w:p>
    <w:p>
      <w:pPr>
        <w:pStyle w:val="FirstParagraph"/>
      </w:pPr>
      <w:r>
        <w:t xml:space="preserve">Расширенный вариант использует понятие приоритетной сиглы. Приоритетные сиглы определяют организации, записи которых имеют преимущество при корректировке сводного описания. Список таких организаций задаётся в справочнике</w:t>
      </w:r>
      <w:r>
        <w:t xml:space="preserve"> </w:t>
      </w:r>
      <w:r>
        <w:rPr>
          <w:rStyle w:val="VerbatimChar"/>
        </w:rPr>
        <w:t xml:space="preserve">SiglP.mnu</w:t>
      </w:r>
      <w:r>
        <w:t xml:space="preserve">.</w:t>
      </w:r>
    </w:p>
    <w:p>
      <w:pPr>
        <w:pStyle w:val="BodyText"/>
      </w:pPr>
      <w:r>
        <w:t xml:space="preserve">Если исходная сводная запись была создана не приоритетной сиглой, а импортируемая запись поступила от приоритетной сиглы, библиографические поля и поля индексирования могут быть автоматически заменены данными импортируемой записи.</w:t>
      </w:r>
    </w:p>
    <w:p>
      <w:pPr>
        <w:pStyle w:val="BodyText"/>
      </w:pPr>
      <w:r>
        <w:t xml:space="preserve">Если сводная запись уже создана приоритетной сиглой или ранее откорректирована ею, она может дополняться оригинальными полями индексирования с указанием новой приоритетной сиглы, приславшей запись.</w:t>
      </w:r>
    </w:p>
    <w:p>
      <w:pPr>
        <w:pStyle w:val="BodyText"/>
      </w:pPr>
      <w:r>
        <w:t xml:space="preserve">К полям индексирования относятся:</w:t>
      </w:r>
    </w:p>
    <w:p>
      <w:pPr>
        <w:pStyle w:val="Compact"/>
        <w:numPr>
          <w:ilvl w:val="0"/>
          <w:numId w:val="1004"/>
        </w:numPr>
      </w:pPr>
      <w:r>
        <w:t xml:space="preserve">предметные и географические рубрики:</w:t>
      </w:r>
      <w:r>
        <w:t xml:space="preserve"> </w:t>
      </w:r>
      <w:r>
        <w:rPr>
          <w:rStyle w:val="VerbatimChar"/>
        </w:rPr>
        <w:t xml:space="preserve">606</w:t>
      </w:r>
      <w:r>
        <w:t xml:space="preserve">,</w:t>
      </w:r>
      <w:r>
        <w:t xml:space="preserve"> </w:t>
      </w:r>
      <w:r>
        <w:rPr>
          <w:rStyle w:val="VerbatimChar"/>
        </w:rPr>
        <w:t xml:space="preserve">607</w:t>
      </w:r>
      <w:r>
        <w:t xml:space="preserve">,</w:t>
      </w:r>
      <w:r>
        <w:t xml:space="preserve"> </w:t>
      </w:r>
      <w:r>
        <w:rPr>
          <w:rStyle w:val="VerbatimChar"/>
        </w:rPr>
        <w:t xml:space="preserve">929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ненормированные ключевые слова:</w:t>
      </w:r>
      <w:r>
        <w:t xml:space="preserve"> </w:t>
      </w:r>
      <w:r>
        <w:rPr>
          <w:rStyle w:val="VerbatimChar"/>
        </w:rPr>
        <w:t xml:space="preserve">610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ББК:</w:t>
      </w:r>
      <w:r>
        <w:t xml:space="preserve"> </w:t>
      </w:r>
      <w:r>
        <w:rPr>
          <w:rStyle w:val="VerbatimChar"/>
        </w:rPr>
        <w:t xml:space="preserve">621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УДК:</w:t>
      </w:r>
      <w:r>
        <w:t xml:space="preserve"> </w:t>
      </w:r>
      <w:r>
        <w:rPr>
          <w:rStyle w:val="VerbatimChar"/>
        </w:rPr>
        <w:t xml:space="preserve">675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ГРНТИ:</w:t>
      </w:r>
      <w:r>
        <w:t xml:space="preserve"> </w:t>
      </w:r>
      <w:r>
        <w:rPr>
          <w:rStyle w:val="VerbatimChar"/>
        </w:rPr>
        <w:t xml:space="preserve">964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дескрипторы тезауруса:</w:t>
      </w:r>
      <w:r>
        <w:t xml:space="preserve"> </w:t>
      </w:r>
      <w:r>
        <w:rPr>
          <w:rStyle w:val="VerbatimChar"/>
        </w:rPr>
        <w:t xml:space="preserve">665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дескрипторы MeSH:</w:t>
      </w:r>
      <w:r>
        <w:t xml:space="preserve"> </w:t>
      </w:r>
      <w:r>
        <w:rPr>
          <w:rStyle w:val="VerbatimChar"/>
        </w:rPr>
        <w:t xml:space="preserve">605</w:t>
      </w:r>
      <w:r>
        <w:t xml:space="preserve">,</w:t>
      </w:r>
      <w:r>
        <w:t xml:space="preserve"> </w:t>
      </w:r>
      <w:r>
        <w:rPr>
          <w:rStyle w:val="VerbatimChar"/>
        </w:rPr>
        <w:t xml:space="preserve">995</w:t>
      </w:r>
      <w:r>
        <w:t xml:space="preserve">,</w:t>
      </w:r>
      <w:r>
        <w:t xml:space="preserve"> </w:t>
      </w:r>
      <w:r>
        <w:rPr>
          <w:rStyle w:val="VerbatimChar"/>
        </w:rPr>
        <w:t xml:space="preserve">996</w:t>
      </w:r>
      <w:r>
        <w:t xml:space="preserve">.</w:t>
      </w:r>
    </w:p>
    <w:p>
      <w:pPr>
        <w:pStyle w:val="FirstParagraph"/>
      </w:pPr>
      <w:r>
        <w:t xml:space="preserve">Дополнительный ввод полей индексирования можно отключить параметром</w:t>
      </w:r>
      <w:r>
        <w:t xml:space="preserve"> </w:t>
      </w:r>
      <w:r>
        <w:rPr>
          <w:rStyle w:val="VerbatimChar"/>
        </w:rPr>
        <w:t xml:space="preserve">SvkAddIND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 </w:t>
      </w:r>
      <w:r>
        <w:t xml:space="preserve">INI-файла. По умолчанию эти данные вводятся.</w:t>
      </w:r>
    </w:p>
    <w:p>
      <w:pPr>
        <w:pStyle w:val="BodyText"/>
      </w:pPr>
      <w:r>
        <w:t xml:space="preserve">Участник сводного каталога может передавать не только сиглу, но и оригинальные данные об экземплярах. К ним относятся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поля, описывающие состояние и особенности экземпляров редких книг:</w:t>
      </w:r>
      <w:r>
        <w:t xml:space="preserve"> </w:t>
      </w:r>
      <w:r>
        <w:rPr>
          <w:rStyle w:val="VerbatimChar"/>
        </w:rPr>
        <w:t xml:space="preserve">141</w:t>
      </w:r>
      <w:r>
        <w:t xml:space="preserve">,</w:t>
      </w:r>
      <w:r>
        <w:t xml:space="preserve"> </w:t>
      </w:r>
      <w:r>
        <w:rPr>
          <w:rStyle w:val="VerbatimChar"/>
        </w:rPr>
        <w:t xml:space="preserve">316</w:t>
      </w:r>
      <w:r>
        <w:t xml:space="preserve">-</w:t>
      </w:r>
      <w:r>
        <w:rPr>
          <w:rStyle w:val="VerbatimChar"/>
        </w:rPr>
        <w:t xml:space="preserve">318</w:t>
      </w:r>
      <w:r>
        <w:t xml:space="preserve">,</w:t>
      </w:r>
      <w:r>
        <w:t xml:space="preserve"> </w:t>
      </w:r>
      <w:r>
        <w:rPr>
          <w:rStyle w:val="VerbatimChar"/>
        </w:rPr>
        <w:t xml:space="preserve">391</w:t>
      </w:r>
      <w:r>
        <w:t xml:space="preserve">-</w:t>
      </w:r>
      <w:r>
        <w:rPr>
          <w:rStyle w:val="VerbatimChar"/>
        </w:rPr>
        <w:t xml:space="preserve">399</w:t>
      </w:r>
      <w:r>
        <w:t xml:space="preserve">.</w:t>
      </w:r>
    </w:p>
    <w:p>
      <w:pPr>
        <w:pStyle w:val="BodyText"/>
      </w:pPr>
      <w:r>
        <w:t xml:space="preserve">Ввод данных об экземплярах можно отключить параметром</w:t>
      </w:r>
      <w:r>
        <w:t xml:space="preserve"> </w:t>
      </w:r>
      <w:r>
        <w:rPr>
          <w:rStyle w:val="VerbatimChar"/>
        </w:rPr>
        <w:t xml:space="preserve">SvkAddEX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 </w:t>
      </w:r>
      <w:r>
        <w:t xml:space="preserve">INI-файла. По умолчанию эти данные не вводятся.</w:t>
      </w:r>
    </w:p>
    <w:p>
      <w:pPr>
        <w:pStyle w:val="BodyText"/>
      </w:pPr>
      <w:r>
        <w:t xml:space="preserve">Безусловно в запись сводного каталога вводится сигла и технологическое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со значением вида</w:t>
      </w:r>
      <w:r>
        <w:t xml:space="preserve"> </w:t>
      </w:r>
      <w:r>
        <w:rPr>
          <w:rStyle w:val="VerbatimChar"/>
        </w:rPr>
        <w:t xml:space="preserve">IMP - дата - сигла</w:t>
      </w:r>
      <w:r>
        <w:t xml:space="preserve">.</w:t>
      </w:r>
    </w:p>
    <w:p>
      <w:pPr>
        <w:pStyle w:val="BodyText"/>
      </w:pPr>
      <w:r>
        <w:t xml:space="preserve">Для этого варианта используются:</w:t>
      </w:r>
    </w:p>
    <w:p>
      <w:pPr>
        <w:pStyle w:val="Compact"/>
        <w:numPr>
          <w:ilvl w:val="0"/>
          <w:numId w:val="1005"/>
        </w:numPr>
      </w:pPr>
      <w:r>
        <w:t xml:space="preserve">таблица переформатирования</w:t>
      </w:r>
      <w:r>
        <w:t xml:space="preserve"> </w:t>
      </w:r>
      <w:r>
        <w:rPr>
          <w:rStyle w:val="VerbatimChar"/>
        </w:rPr>
        <w:t xml:space="preserve">ImpSvk_Sigla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глобальное задание</w:t>
      </w:r>
      <w:r>
        <w:t xml:space="preserve"> </w:t>
      </w:r>
      <w:r>
        <w:rPr>
          <w:rStyle w:val="VerbatimChar"/>
        </w:rPr>
        <w:t xml:space="preserve">ImpSvk_Sigla</w:t>
      </w:r>
      <w:r>
        <w:t xml:space="preserve">.</w:t>
      </w:r>
    </w:p>
    <w:p>
      <w:pPr>
        <w:pStyle w:val="FirstParagraph"/>
      </w:pPr>
      <w:r>
        <w:t xml:space="preserve">Сиглу организации, приславшей импортируемый файл, можно задавать через настройку. Если в настройке сигла не задана, она берётся из импортируемой записи, из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bookmarkEnd w:id="13"/>
    <w:bookmarkStart w:id="14" w:name="контроль-результата"/>
    <w:p>
      <w:pPr>
        <w:pStyle w:val="Heading2"/>
      </w:pPr>
      <w:r>
        <w:t xml:space="preserve">5. Контроль результата</w:t>
      </w:r>
    </w:p>
    <w:p>
      <w:pPr>
        <w:pStyle w:val="FirstParagraph"/>
      </w:pPr>
      <w:r>
        <w:t xml:space="preserve">После импорта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сколько записей было создано как новые;</w:t>
      </w:r>
    </w:p>
    <w:p>
      <w:pPr>
        <w:pStyle w:val="Compact"/>
        <w:numPr>
          <w:ilvl w:val="0"/>
          <w:numId w:val="1006"/>
        </w:numPr>
      </w:pPr>
      <w:r>
        <w:t xml:space="preserve">сколько записей было объединено с существующими сводными записями;</w:t>
      </w:r>
    </w:p>
    <w:p>
      <w:pPr>
        <w:pStyle w:val="Compact"/>
        <w:numPr>
          <w:ilvl w:val="0"/>
          <w:numId w:val="1006"/>
        </w:numPr>
      </w:pPr>
      <w:r>
        <w:t xml:space="preserve">корректно ли заполнено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добавлено ли технологическое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для импортированных данных;</w:t>
      </w:r>
    </w:p>
    <w:p>
      <w:pPr>
        <w:pStyle w:val="Compact"/>
        <w:numPr>
          <w:ilvl w:val="0"/>
          <w:numId w:val="1006"/>
        </w:numPr>
      </w:pPr>
      <w:r>
        <w:t xml:space="preserve">не появились ли нежелательные дублеты из-за расхождения свёртки библиографического описания;</w:t>
      </w:r>
    </w:p>
    <w:p>
      <w:pPr>
        <w:pStyle w:val="Compact"/>
        <w:numPr>
          <w:ilvl w:val="0"/>
          <w:numId w:val="1006"/>
        </w:numPr>
      </w:pPr>
      <w:r>
        <w:t xml:space="preserve">корректно ли применился приоритет сигл;</w:t>
      </w:r>
    </w:p>
    <w:p>
      <w:pPr>
        <w:pStyle w:val="Compact"/>
        <w:numPr>
          <w:ilvl w:val="0"/>
          <w:numId w:val="1006"/>
        </w:numPr>
      </w:pPr>
      <w:r>
        <w:t xml:space="preserve">были ли добавлены или заменены поля индексирования и экземпляров согласно настройкам</w:t>
      </w:r>
      <w:r>
        <w:t xml:space="preserve"> </w:t>
      </w:r>
      <w:r>
        <w:rPr>
          <w:rStyle w:val="VerbatimChar"/>
        </w:rPr>
        <w:t xml:space="preserve">SvkAddIND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SvkAddEX</w:t>
      </w:r>
      <w:r>
        <w:t xml:space="preserve">.</w:t>
      </w:r>
    </w:p>
    <w:p>
      <w:pPr>
        <w:pStyle w:val="FirstParagraph"/>
      </w:pPr>
      <w:r>
        <w:t xml:space="preserve">Если сводный каталог ведётся современным модулем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нужно учитывать его таблицу слияний и этапы фоновой обработки. В таком случае импорт со слиянием из старой методики следует рассматривать как отдельную технологию и применять только после сверки с текущей схемой сопровождения сводного каталога.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UnionCatalogAc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UnionCatalogAc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в сводный каталог</dc:title>
  <dc:creator/>
  <cp:keywords/>
  <dcterms:created xsi:type="dcterms:W3CDTF">2026-09-01T13:37:02Z</dcterms:created>
  <dcterms:modified xsi:type="dcterms:W3CDTF">2026-09-01T13:37:02Z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