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аутентификации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аутентификации-через-есиа"/>
    <w:p>
      <w:pPr>
        <w:pStyle w:val="Heading1"/>
      </w:pPr>
      <w:r>
        <w:t xml:space="preserve">Настройка аутентификации через ЕСИА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поддерживает вход пользователя через ЕСИА. Сценарий используется для внешней авторизации читателя: система перенаправляет пользователя на портал ЕСИА, получает ответ с кодом авторизации, находит или создает запись читателя и затем выполняет обычный вход в ИРБИС 128 под учетными данными, сохраненными в записи.</w:t>
      </w:r>
    </w:p>
    <w:bookmarkStart w:id="9" w:name="предварительная-настройка-есиа"/>
    <w:p>
      <w:pPr>
        <w:pStyle w:val="Heading2"/>
      </w:pPr>
      <w:r>
        <w:t xml:space="preserve">1. Предварительная настройка ЕСИА</w:t>
      </w:r>
    </w:p>
    <w:p>
      <w:pPr>
        <w:pStyle w:val="FirstParagraph"/>
      </w:pPr>
      <w:r>
        <w:t xml:space="preserve">Перед настройкой ИРБИС 128 информационная система организации должна быть зарегистрирована в ЕСИА. В заявке на подключение должны быть согласованы:</w:t>
      </w:r>
    </w:p>
    <w:p>
      <w:pPr>
        <w:pStyle w:val="Compact"/>
        <w:numPr>
          <w:ilvl w:val="0"/>
          <w:numId w:val="1001"/>
        </w:numPr>
      </w:pPr>
      <w:r>
        <w:t xml:space="preserve">мнемоника информационной системы;</w:t>
      </w:r>
    </w:p>
    <w:p>
      <w:pPr>
        <w:pStyle w:val="Compact"/>
        <w:numPr>
          <w:ilvl w:val="0"/>
          <w:numId w:val="1001"/>
        </w:numPr>
      </w:pPr>
      <w:r>
        <w:t xml:space="preserve">адрес портала ЕСИА, с которым работает организация;</w:t>
      </w:r>
    </w:p>
    <w:p>
      <w:pPr>
        <w:pStyle w:val="Compact"/>
        <w:numPr>
          <w:ilvl w:val="0"/>
          <w:numId w:val="1001"/>
        </w:numPr>
      </w:pPr>
      <w:r>
        <w:t xml:space="preserve">URL сайта организации, на который ЕСИА вернет пользователя после подтверждения входа;</w:t>
      </w:r>
    </w:p>
    <w:p>
      <w:pPr>
        <w:pStyle w:val="Compact"/>
        <w:numPr>
          <w:ilvl w:val="0"/>
          <w:numId w:val="1001"/>
        </w:numPr>
      </w:pPr>
      <w:r>
        <w:t xml:space="preserve">сертификат и закрытый ключ, используемые для подписи запросов;</w:t>
      </w:r>
    </w:p>
    <w:p>
      <w:pPr>
        <w:pStyle w:val="Compact"/>
        <w:numPr>
          <w:ilvl w:val="0"/>
          <w:numId w:val="1001"/>
        </w:numPr>
      </w:pPr>
      <w:r>
        <w:t xml:space="preserve">набор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, из которого система будет получать данные пользователя.</w:t>
      </w:r>
    </w:p>
    <w:p>
      <w:pPr>
        <w:pStyle w:val="FirstParagraph"/>
      </w:pPr>
      <w:r>
        <w:t xml:space="preserve">Callback-адрес в ЕСИА должен вести на обработчик ИРБИС 128:</w:t>
      </w:r>
    </w:p>
    <w:p>
      <w:pPr>
        <w:pStyle w:val="SourceCode"/>
      </w:pPr>
      <w:r>
        <w:rPr>
          <w:rStyle w:val="VerbatimChar"/>
        </w:rPr>
        <w:t xml:space="preserve">?id=WIrbis&amp;action=Authorisation/AuthESIA</w:t>
      </w:r>
    </w:p>
    <w:p>
      <w:pPr>
        <w:pStyle w:val="FirstParagraph"/>
      </w:pPr>
      <w:r>
        <w:t xml:space="preserve">Если в ЕСИА требуется полный адрес, укажите внешний адрес сайта организации и этот относительный путь.</w:t>
      </w:r>
    </w:p>
    <w:bookmarkEnd w:id="9"/>
    <w:bookmarkStart w:id="10" w:name="параметры-модуля"/>
    <w:p>
      <w:pPr>
        <w:pStyle w:val="Heading2"/>
      </w:pPr>
      <w:r>
        <w:t xml:space="preserve">2. Параметры модуля</w:t>
      </w:r>
    </w:p>
    <w:p>
      <w:pPr>
        <w:pStyle w:val="FirstParagraph"/>
      </w:pP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используйте раздел</w:t>
      </w:r>
      <w:r>
        <w:t xml:space="preserve"> </w:t>
      </w:r>
      <w:r>
        <w:rPr>
          <w:b/>
          <w:bCs/>
        </w:rPr>
        <w:t xml:space="preserve">Использование для аутентификации ESIA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AutorusCheck</w:t>
            </w:r>
          </w:p>
        </w:tc>
        <w:tc>
          <w:tcPr/>
          <w:p>
            <w:pPr>
              <w:pStyle w:val="Compact"/>
            </w:pPr>
            <w:r>
              <w:t xml:space="preserve">включает сценарий авторизации через ЕСИА в настройках модуля;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MnemESIA</w:t>
            </w:r>
          </w:p>
        </w:tc>
        <w:tc>
          <w:tcPr/>
          <w:p>
            <w:pPr>
              <w:pStyle w:val="Compact"/>
            </w:pPr>
            <w:r>
              <w:t xml:space="preserve">мнемоника информационной системы, выданная для подключения к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URLforESIA</w:t>
            </w:r>
          </w:p>
        </w:tc>
        <w:tc>
          <w:tcPr/>
          <w:p>
            <w:pPr>
              <w:pStyle w:val="Compact"/>
            </w:pPr>
            <w:r>
              <w:t xml:space="preserve">адрес портала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URLforORG</w:t>
            </w:r>
          </w:p>
        </w:tc>
        <w:tc>
          <w:tcPr/>
          <w:p>
            <w:pPr>
              <w:pStyle w:val="Compact"/>
            </w:pPr>
            <w:r>
              <w:t xml:space="preserve">внешний URL сайта организации, с которого формируется callback-адрес;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CertPath</w:t>
            </w:r>
          </w:p>
        </w:tc>
        <w:tc>
          <w:tcPr/>
          <w:p>
            <w:pPr>
              <w:pStyle w:val="Compact"/>
            </w:pPr>
            <w:r>
              <w:t xml:space="preserve">путь к сертификату;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PrivateKeyPath</w:t>
            </w:r>
          </w:p>
        </w:tc>
        <w:tc>
          <w:tcPr/>
          <w:p>
            <w:pPr>
              <w:pStyle w:val="Compact"/>
            </w:pPr>
            <w:r>
              <w:t xml:space="preserve">путь к закрытому ключу;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CertPass</w:t>
            </w:r>
          </w:p>
        </w:tc>
        <w:tc>
          <w:tcPr/>
          <w:p>
            <w:pPr>
              <w:pStyle w:val="Compact"/>
            </w:pPr>
            <w:r>
              <w:t xml:space="preserve">пароль закрытого ключа или сертификата;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listScope</w:t>
            </w:r>
          </w:p>
        </w:tc>
        <w:tc>
          <w:tcPr/>
          <w:p>
            <w:pPr>
              <w:pStyle w:val="Compact"/>
            </w:pPr>
            <w:r>
              <w:t xml:space="preserve">список запрашиваемых</w:t>
            </w:r>
            <w:r>
              <w:t xml:space="preserve"> </w:t>
            </w:r>
            <w:r>
              <w:rPr>
                <w:rStyle w:val="VerbatimChar"/>
              </w:rPr>
              <w:t xml:space="preserve">scope</w:t>
            </w:r>
            <w:r>
              <w:t xml:space="preserve">, разделенный запятыми.</w:t>
            </w:r>
          </w:p>
        </w:tc>
      </w:tr>
    </w:tbl>
    <w:p>
      <w:pPr>
        <w:pStyle w:val="BodyText"/>
      </w:pPr>
      <w:r>
        <w:t xml:space="preserve">Для стандартного поиска и создания читателя нужны данные пользователя, контакты и, если используются адресные поля, адресные данные. Обычно в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 </w:t>
      </w:r>
      <w:r>
        <w:t xml:space="preserve">указывают значения вида</w:t>
      </w:r>
      <w:r>
        <w:t xml:space="preserve"> </w:t>
      </w:r>
      <w:r>
        <w:rPr>
          <w:rStyle w:val="VerbatimChar"/>
        </w:rPr>
        <w:t xml:space="preserve">fullname,birthdate,gender,email,contacts</w:t>
      </w:r>
      <w:r>
        <w:t xml:space="preserve">.</w:t>
      </w:r>
    </w:p>
    <w:bookmarkEnd w:id="10"/>
    <w:bookmarkStart w:id="11" w:name="запуск-входа"/>
    <w:p>
      <w:pPr>
        <w:pStyle w:val="Heading2"/>
      </w:pPr>
      <w:r>
        <w:t xml:space="preserve">3. Запуск входа</w:t>
      </w:r>
    </w:p>
    <w:p>
      <w:pPr>
        <w:pStyle w:val="FirstParagraph"/>
      </w:pPr>
      <w:r>
        <w:t xml:space="preserve">Вход через ЕСИА начинается отдельным action:</w:t>
      </w:r>
    </w:p>
    <w:p>
      <w:pPr>
        <w:pStyle w:val="SourceCode"/>
      </w:pPr>
      <w:r>
        <w:rPr>
          <w:rStyle w:val="VerbatimChar"/>
        </w:rPr>
        <w:t xml:space="preserve">?id=WIrbis&amp;action=Authorisation/AuthESIAInput</w:t>
      </w:r>
    </w:p>
    <w:p>
      <w:pPr>
        <w:pStyle w:val="FirstParagraph"/>
      </w:pPr>
      <w:r>
        <w:t xml:space="preserve">Этот action формирует OpenID-запрос с параметрами</w:t>
      </w:r>
      <w:r>
        <w:t xml:space="preserve"> </w:t>
      </w:r>
      <w:r>
        <w:rPr>
          <w:rStyle w:val="VerbatimChar"/>
        </w:rPr>
        <w:t xml:space="preserve">MnemESIA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URLforORG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PrivateKeyPath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, подписывает его и перенаправляет пользователя на портал ЕСИА.</w:t>
      </w:r>
    </w:p>
    <w:p>
      <w:pPr>
        <w:pStyle w:val="BodyText"/>
      </w:pPr>
      <w:r>
        <w:t xml:space="preserve">Стандартная форма входа ИРБИС 128 не добавляет кнопку ЕСИА автоматически. Если пользователю нужна отдельная кнопка или ссылка</w:t>
      </w:r>
      <w:r>
        <w:t xml:space="preserve"> </w:t>
      </w:r>
      <w:r>
        <w:t xml:space="preserve">“Войти через Госуслуги”</w:t>
      </w:r>
      <w:r>
        <w:t xml:space="preserve">, добавьте в используемый шаблон или страницу ссылку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.</w:t>
      </w:r>
    </w:p>
    <w:bookmarkEnd w:id="11"/>
    <w:bookmarkStart w:id="12" w:name="поиск-записи-читателя"/>
    <w:p>
      <w:pPr>
        <w:pStyle w:val="Heading2"/>
      </w:pPr>
      <w:r>
        <w:t xml:space="preserve">4. Поиск записи читателя</w:t>
      </w:r>
    </w:p>
    <w:p>
      <w:pPr>
        <w:pStyle w:val="FirstParagraph"/>
      </w:pPr>
      <w:r>
        <w:t xml:space="preserve">После возврата из ЕСИА обработчик получает данные пользователя и работает с базой читателей:</w:t>
      </w:r>
    </w:p>
    <w:p>
      <w:pPr>
        <w:pStyle w:val="Compact"/>
        <w:numPr>
          <w:ilvl w:val="0"/>
          <w:numId w:val="1002"/>
        </w:numPr>
      </w:pPr>
      <w:r>
        <w:t xml:space="preserve">Использует</w:t>
      </w:r>
      <w:r>
        <w:t xml:space="preserve"> </w:t>
      </w:r>
      <w:r>
        <w:rPr>
          <w:rStyle w:val="VerbatimChar"/>
        </w:rPr>
        <w:t xml:space="preserve">NameBDRDR</w:t>
      </w:r>
      <w:r>
        <w:t xml:space="preserve"> </w:t>
      </w:r>
      <w:r>
        <w:t xml:space="preserve">как имя базы читателей. Если параметр пустой, берется основная база читателей из системных настроек.</w:t>
      </w:r>
    </w:p>
    <w:p>
      <w:pPr>
        <w:pStyle w:val="Compact"/>
        <w:numPr>
          <w:ilvl w:val="0"/>
          <w:numId w:val="1002"/>
        </w:numPr>
      </w:pPr>
      <w:r>
        <w:t xml:space="preserve">Собирает поисковый термин из частей</w:t>
      </w:r>
      <w:r>
        <w:t xml:space="preserve"> </w:t>
      </w:r>
      <w:r>
        <w:rPr>
          <w:rStyle w:val="VerbatimChar"/>
        </w:rPr>
        <w:t xml:space="preserve">termSearh</w:t>
      </w:r>
      <w:r>
        <w:t xml:space="preserve"> </w:t>
      </w:r>
      <w:r>
        <w:t xml:space="preserve">и префикса</w:t>
      </w:r>
      <w:r>
        <w:t xml:space="preserve"> </w:t>
      </w:r>
      <w:r>
        <w:rPr>
          <w:rStyle w:val="VerbatimChar"/>
        </w:rPr>
        <w:t xml:space="preserve">PrefSearch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Ищет запись в базе читателей.</w:t>
      </w:r>
    </w:p>
    <w:p>
      <w:pPr>
        <w:pStyle w:val="Compact"/>
        <w:numPr>
          <w:ilvl w:val="0"/>
          <w:numId w:val="1002"/>
        </w:numPr>
      </w:pPr>
      <w:r>
        <w:t xml:space="preserve">Проверяет найденную запись по соответствиям из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: фамилия, имя, отчество, дата рождения и один из контактов, электронная почта или мобильный телефон.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 </w:t>
      </w:r>
      <w:r>
        <w:t xml:space="preserve">задается, в какие поля и подполя записи читателя попадают данные из</w:t>
      </w:r>
      <w:r>
        <w:t xml:space="preserve"> </w:t>
      </w:r>
      <w:r>
        <w:rPr>
          <w:rStyle w:val="VerbatimChar"/>
        </w:rPr>
        <w:t xml:space="preserve">PersonInfo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AddressInfo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СontactInfo</w:t>
      </w:r>
      <w:r>
        <w:t xml:space="preserve">. Для контактов используются типы</w:t>
      </w:r>
      <w:r>
        <w:t xml:space="preserve"> </w:t>
      </w:r>
      <w:r>
        <w:rPr>
          <w:rStyle w:val="VerbatimChar"/>
        </w:rPr>
        <w:t xml:space="preserve">EML</w:t>
      </w:r>
      <w:r>
        <w:t xml:space="preserve"> </w:t>
      </w:r>
      <w:r>
        <w:t xml:space="preserve">для электронной почты и</w:t>
      </w:r>
      <w:r>
        <w:t xml:space="preserve"> </w:t>
      </w:r>
      <w:r>
        <w:rPr>
          <w:rStyle w:val="VerbatimChar"/>
        </w:rPr>
        <w:t xml:space="preserve">MBT</w:t>
      </w:r>
      <w:r>
        <w:t xml:space="preserve"> </w:t>
      </w:r>
      <w:r>
        <w:t xml:space="preserve">для мобильного телефона.</w:t>
      </w:r>
    </w:p>
    <w:bookmarkEnd w:id="12"/>
    <w:bookmarkStart w:id="13" w:name="создание-записи-читателя"/>
    <w:p>
      <w:pPr>
        <w:pStyle w:val="Heading2"/>
      </w:pPr>
      <w:r>
        <w:t xml:space="preserve">5. Создание записи читателя</w:t>
      </w:r>
    </w:p>
    <w:p>
      <w:pPr>
        <w:pStyle w:val="FirstParagraph"/>
      </w:pPr>
      <w:r>
        <w:t xml:space="preserve">Если подходящая запись не найдена, модуль создает новую запись читателя в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заполняет ее данными ЕСИА по настройкам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.</w:t>
      </w:r>
    </w:p>
    <w:p>
      <w:pPr>
        <w:pStyle w:val="BodyText"/>
      </w:pPr>
      <w:r>
        <w:t xml:space="preserve">При создании записи также используются параметры: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genLog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modulLog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funcLog</w:t>
      </w:r>
      <w:r>
        <w:t xml:space="preserve"> </w:t>
      </w:r>
      <w:r>
        <w:t xml:space="preserve">- автоматическая генерация логина;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funcPass</w:t>
      </w:r>
      <w:r>
        <w:t xml:space="preserve"> </w:t>
      </w:r>
      <w:r>
        <w:t xml:space="preserve">- автоматическая генерация пароля;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autorType</w:t>
      </w:r>
      <w:r>
        <w:t xml:space="preserve"> </w:t>
      </w:r>
      <w:r>
        <w:t xml:space="preserve">- тип учетных данных, под которыми пользователь войдет после ЕСИА:</w:t>
      </w:r>
      <w:r>
        <w:t xml:space="preserve"> </w:t>
      </w:r>
      <w:r>
        <w:rPr>
          <w:rStyle w:val="VerbatimChar"/>
        </w:rPr>
        <w:t xml:space="preserve">Web</w:t>
      </w:r>
      <w:r>
        <w:t xml:space="preserve"> </w:t>
      </w:r>
      <w:r>
        <w:t xml:space="preserve">для Web-ИРБИС или</w:t>
      </w:r>
      <w:r>
        <w:t xml:space="preserve"> </w:t>
      </w:r>
      <w:r>
        <w:rPr>
          <w:rStyle w:val="VerbatimChar"/>
        </w:rPr>
        <w:t xml:space="preserve">i128</w:t>
      </w:r>
      <w:r>
        <w:t xml:space="preserve"> </w:t>
      </w:r>
      <w:r>
        <w:t xml:space="preserve">для ИРБИС 128;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regEmailApply</w:t>
      </w:r>
      <w:r>
        <w:t xml:space="preserve"> </w:t>
      </w:r>
      <w:r>
        <w:t xml:space="preserve">- отправка учетных данных пользователю при создании новой записи, если подтверждение регистрации по e-mail включено в общих настройках регистрации.</w:t>
      </w:r>
    </w:p>
    <w:p>
      <w:pPr>
        <w:pStyle w:val="FirstParagraph"/>
      </w:pPr>
      <w:r>
        <w:t xml:space="preserve">Для новой и найденной записи модуль добавляет служебный SID, сохраняет запись и фиксирует событие входа через ЕСИА в поле протокола.</w:t>
      </w:r>
    </w:p>
    <w:bookmarkEnd w:id="13"/>
    <w:bookmarkStart w:id="14" w:name="вход-после-подтверждения-есиа"/>
    <w:p>
      <w:pPr>
        <w:pStyle w:val="Heading2"/>
      </w:pPr>
      <w:r>
        <w:t xml:space="preserve">6. Вход после подтверждения ЕСИА</w:t>
      </w:r>
    </w:p>
    <w:p>
      <w:pPr>
        <w:pStyle w:val="FirstParagraph"/>
      </w:pPr>
      <w:r>
        <w:t xml:space="preserve">После сопоставления записи читателя модуль выполняет обычный вход в систему: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autorType=Web</w:t>
      </w:r>
      <w:r>
        <w:t xml:space="preserve"> </w:t>
      </w:r>
      <w:r>
        <w:t xml:space="preserve">берет логин и пароль из полей Web-ИРБИС, заданных параметрами</w:t>
      </w:r>
      <w:r>
        <w:t xml:space="preserve"> </w:t>
      </w:r>
      <w:r>
        <w:rPr>
          <w:rStyle w:val="VerbatimChar"/>
        </w:rPr>
        <w:t xml:space="preserve">WebIrbisLogin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WebIrbisLoginPP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WebIrbisPasswdPP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autorType=i128</w:t>
      </w:r>
      <w:r>
        <w:t xml:space="preserve"> </w:t>
      </w:r>
      <w:r>
        <w:t xml:space="preserve">использует учетные данные ИРБИС 128 из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.</w:t>
      </w:r>
    </w:p>
    <w:p>
      <w:pPr>
        <w:pStyle w:val="FirstParagraph"/>
      </w:pPr>
      <w:r>
        <w:t xml:space="preserve">Если учетные данные не заполнены и не генерируются автоматически, вход после успешного ответа ЕСИА не сможет завершиться. Перед публикацией ссылки на ЕСИА проверьте тестовый вход пользователя и убедитесь, что запись читателя находится или создается с ожидаемыми полями.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аутентификации через ЕСИА</dc:title>
  <dc:creator/>
  <cp:keywords/>
  <dcterms:created xsi:type="dcterms:W3CDTF">2026-08-31T07:31:36Z</dcterms:created>
  <dcterms:modified xsi:type="dcterms:W3CDTF">2026-08-31T07:31:36Z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