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[I128-1502] Настройка провайдера данных недоступна при неотвечающем конечном адресе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9516ce09c5584bdc84152f2c1477c37336267"/>
    <w:p>
      <w:pPr>
        <w:pStyle w:val="Heading1"/>
      </w:pPr>
      <w:r>
        <w:t xml:space="preserve">[I128-1502] Настройка провайдера данных недоступна при неотвечающем конечном адресе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Окно настройки провайдера данных для БД не открывалось, если текущий endpoint, указанный в настройках провайдера этой БД, не отвечал. Из-за этого пользователь не мог изменить тип провайдера или адрес подключения.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Действия открытия формы настройки и сохранения параметров получали объект БД через обычный</w:t>
      </w:r>
      <w:r>
        <w:t xml:space="preserve"> </w:t>
      </w:r>
      <w:r>
        <w:rPr>
          <w:rStyle w:val="VerbatimChar"/>
        </w:rPr>
        <w:t xml:space="preserve">i128f::GetDb()</w:t>
      </w:r>
      <w:r>
        <w:t xml:space="preserve">. При наличии индивидуального не-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provider в ini БД этот путь пытался подключить настроенный provider и завершался ошибкой до чтения или записи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административной настройки провайдера добавлен отдельный способ получения объекта БД через корневой провайдер. Он читает конфигурационные файлы БД и применяет ini-настройки, но не подключает индивидуальный provider редактируемой БД. Открытие формы и сохранение настроек провайдера переведены на этот способ.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I128-1502: Открывать настройки провайдера через корневой провайдер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[I128-1502] Настройка провайдера данных недоступна при неотвечающем конечном адресе провайдера</dc:title>
  <dc:creator/>
  <cp:keywords/>
  <dcterms:created xsi:type="dcterms:W3CDTF">2026-10-15T11:30:56Z</dcterms:created>
  <dcterms:modified xsi:type="dcterms:W3CDTF">2026-10-15T11:30:56Z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