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[I128-1397] Замена редактора записи мероприятий на стандартный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5703315216f953fa170b33d71710c04e70a02f"/>
    <w:p>
      <w:pPr>
        <w:pStyle w:val="Heading1"/>
      </w:pPr>
      <w:r>
        <w:t xml:space="preserve">[I128-1397] Замена редактора записи мероприятий на стандартный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2"/>
    <w:p>
      <w:pPr>
        <w:pStyle w:val="Heading3"/>
      </w:pPr>
      <w:r>
        <w:t xml:space="preserve">1.1. 🔗 Соответствует задача: I128-2152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[I128-2152]</w:t>
        </w:r>
      </w:hyperlink>
      <w:r>
        <w:t xml:space="preserve"> </w:t>
      </w:r>
      <w:r>
        <w:t xml:space="preserve">Редактор записи в БД мероприятий заменить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[I128-1397] Замена редактора записи мероприятий на стандартный</dc:title>
  <dc:creator/>
  <cp:keywords/>
  <dcterms:created xsi:type="dcterms:W3CDTF">2026-10-24T04:53:54Z</dcterms:created>
  <dcterms:modified xsi:type="dcterms:W3CDTF">2026-10-24T04:53:54Z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