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[I128-2389] Документировать действия явной паузы и запуска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30230ad2f78ccd4e260ec010e74b6b859a3cc1"/>
    <w:p>
      <w:pPr>
        <w:pStyle w:val="Heading1"/>
      </w:pPr>
      <w:r>
        <w:t xml:space="preserve">[I128-2389] Документировать действия явной паузы и запуска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в разделе управления состоянием очереди добавлено описание прямых действий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уточняет разницу между кнопкой-переключателем на панели мониторинга и прямыми действиями для автоматизированных сценариев: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гарантированно переводит очередь в состояние паузы, а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гарантированно возобновляет обработку задач.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70"/>
    <w:p>
      <w:pPr>
        <w:pStyle w:val="Heading3"/>
      </w:pPr>
      <w:r>
        <w:t xml:space="preserve">1.1. 🔗 Соответствует задача: I128-2370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[I128-2370]</w:t>
        </w:r>
      </w:hyperlink>
      <w:r>
        <w:t xml:space="preserve"> </w:t>
      </w:r>
      <w:r>
        <w:t xml:space="preserve">Явное управление состоянием паузы в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[I128-2389] Документировать действия явной паузы и запуска очереди задач</dc:title>
  <dc:creator/>
  <cp:keywords/>
  <dcterms:created xsi:type="dcterms:W3CDTF">2026-10-15T19:09:49Z</dcterms:created>
  <dcterms:modified xsi:type="dcterms:W3CDTF">2026-10-15T19:09:49Z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