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Клиент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клиент"/>
    <w:p>
      <w:pPr>
        <w:pStyle w:val="Heading1"/>
      </w:pPr>
      <w:r>
        <w:t xml:space="preserve">Клиент</w:t>
      </w:r>
    </w:p>
    <w:bookmarkStart w:id="9" w:name="программное-обеспечение"/>
    <w:p>
      <w:pPr>
        <w:pStyle w:val="Heading2"/>
      </w:pPr>
      <w:r>
        <w:t xml:space="preserve">1. Программное обеспечение</w:t>
      </w:r>
    </w:p>
    <w:p>
      <w:pPr>
        <w:pStyle w:val="FirstParagraph"/>
      </w:pPr>
      <w:r>
        <w:t xml:space="preserve">Клиентская часть работает через браузер. В поставочном документе указаны следующие минимальные версии:</w:t>
      </w:r>
    </w:p>
    <w:p>
      <w:pPr>
        <w:pStyle w:val="Compact"/>
        <w:numPr>
          <w:ilvl w:val="0"/>
          <w:numId w:val="1001"/>
        </w:numPr>
      </w:pPr>
      <w:r>
        <w:t xml:space="preserve">Microsoft Internet Explorer 11.0 или выше;</w:t>
      </w:r>
    </w:p>
    <w:p>
      <w:pPr>
        <w:pStyle w:val="Compact"/>
        <w:numPr>
          <w:ilvl w:val="0"/>
          <w:numId w:val="1001"/>
        </w:numPr>
      </w:pPr>
      <w:r>
        <w:t xml:space="preserve">Mozilla Firefox 2.0 или выше;</w:t>
      </w:r>
    </w:p>
    <w:p>
      <w:pPr>
        <w:pStyle w:val="Compact"/>
        <w:numPr>
          <w:ilvl w:val="0"/>
          <w:numId w:val="1001"/>
        </w:numPr>
      </w:pPr>
      <w:r>
        <w:t xml:space="preserve">Opera 9.5 или выше;</w:t>
      </w:r>
    </w:p>
    <w:p>
      <w:pPr>
        <w:pStyle w:val="Compact"/>
        <w:numPr>
          <w:ilvl w:val="0"/>
          <w:numId w:val="1001"/>
        </w:numPr>
      </w:pPr>
      <w:r>
        <w:t xml:space="preserve">Google Chrome 0.2 или выше;</w:t>
      </w:r>
    </w:p>
    <w:p>
      <w:pPr>
        <w:pStyle w:val="Compact"/>
        <w:numPr>
          <w:ilvl w:val="0"/>
          <w:numId w:val="1001"/>
        </w:numPr>
      </w:pPr>
      <w:r>
        <w:t xml:space="preserve">Safari 3 или выше.</w:t>
      </w:r>
    </w:p>
    <w:p>
      <w:pPr>
        <w:pStyle w:val="FirstParagraph"/>
      </w:pPr>
      <w:r>
        <w:t xml:space="preserve">Фактическую поддержку браузеров нужно сверять с текущей версией системы и политикой безопасности организации.</w:t>
      </w:r>
    </w:p>
    <w:bookmarkEnd w:id="9"/>
    <w:bookmarkStart w:id="10" w:name="оборудование"/>
    <w:p>
      <w:pPr>
        <w:pStyle w:val="Heading2"/>
      </w:pPr>
      <w:r>
        <w:t xml:space="preserve">2. Оборудование</w:t>
      </w:r>
    </w:p>
    <w:p>
      <w:pPr>
        <w:pStyle w:val="Compact"/>
        <w:numPr>
          <w:ilvl w:val="0"/>
          <w:numId w:val="1002"/>
        </w:numPr>
      </w:pPr>
      <w:r>
        <w:t xml:space="preserve">ПК с установленным браузером;</w:t>
      </w:r>
    </w:p>
    <w:p>
      <w:pPr>
        <w:pStyle w:val="Compact"/>
        <w:numPr>
          <w:ilvl w:val="0"/>
          <w:numId w:val="1002"/>
        </w:numPr>
      </w:pPr>
      <w:r>
        <w:t xml:space="preserve">монитор 1024 x 768, 16 bit и выше;</w:t>
      </w:r>
    </w:p>
    <w:p>
      <w:pPr>
        <w:pStyle w:val="Compact"/>
        <w:numPr>
          <w:ilvl w:val="0"/>
          <w:numId w:val="1002"/>
        </w:numPr>
      </w:pPr>
      <w:r>
        <w:t xml:space="preserve">клавиатура и мышь;</w:t>
      </w:r>
    </w:p>
    <w:p>
      <w:pPr>
        <w:pStyle w:val="Compact"/>
        <w:numPr>
          <w:ilvl w:val="0"/>
          <w:numId w:val="1002"/>
        </w:numPr>
      </w:pPr>
      <w:r>
        <w:t xml:space="preserve">доступ в сеть Internet.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Клиент</dc:title>
  <dc:creator/>
  <cp:keywords/>
  <dcterms:created xsi:type="dcterms:W3CDTF">2026-08-30T05:14:48Z</dcterms:created>
  <dcterms:modified xsi:type="dcterms:W3CDTF">2026-08-30T05:14:48Z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