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[I128-2490] ЭДД: право просмотра заявки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bc987eb37e9b51cbdca21c5454ee1d6e6933bc"/>
    <w:p>
      <w:pPr>
        <w:pStyle w:val="Heading1"/>
      </w:pPr>
      <w:r>
        <w:t xml:space="preserve">[I128-2490] ЭДД: право просмотра заявки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заявки ЭДД право просмотра для IP добавляется в служебное поле 113 прямой записью из модуля CSpiderEDD. После выделения границы ответственности Security это оставляет часть сценария создания заявки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заявки ЭДД использует общий механизм Security для назначения права просмотра. Для пользователя сценарий не меняется: заявка создается, а доступ к ней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modules/CSpiderEDD/api.php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a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ra,</w:t>
      </w:r>
      <w:r>
        <w:rPr>
          <w:strike/>
        </w:rPr>
        <w:t xml:space="preserve"> </w:t>
      </w:r>
      <w:r>
        <w:rPr>
          <w:strike/>
        </w:rPr>
        <w:t xml:space="preserve">‘Ip’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‘view’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[I128-2490] ЭДД: право просмотра заявки назначается вне Security</dc:title>
  <dc:creator/>
  <cp:keywords/>
  <dcterms:created xsi:type="dcterms:W3CDTF">2026-08-31T06:43:49Z</dcterms:created>
  <dcterms:modified xsi:type="dcterms:W3CDTF">2026-08-31T06:43:49Z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