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&amp;uf(’+1K… - Групповая мультираскодировка переменных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1e7dac07eb8eec54743cebb57b2388a2a02e42"/>
    <w:p>
      <w:pPr>
        <w:pStyle w:val="Heading1"/>
      </w:pPr>
      <w:r>
        <w:t xml:space="preserve">&amp;uf(’+1K… - Групповая мультираскодировка переменных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Групповая мультираскодировка переменных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+1K&lt;MNU&gt;|NNN,nnn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NNN – номер первой или единственной переменной;</w:t>
      </w:r>
      <w:r>
        <w:t xml:space="preserve"> </w:t>
      </w:r>
      <w:r>
        <w:t xml:space="preserve">* nnn – кол-во переменных (по умолчанию 1)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&amp;unifor('+1Kmhr.mnu|100,10')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&amp;uf(’+1K… - Групповая мультираскодировка переменных</dc:title>
  <dc:creator/>
  <cp:keywords/>
  <dcterms:created xsi:type="dcterms:W3CDTF">2026-08-31T16:38:35Z</dcterms:created>
  <dcterms:modified xsi:type="dcterms:W3CDTF">2026-08-31T16:38:35Z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