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Bitrix24</w:t>
      </w:r>
      <w:r>
        <w:t xml:space="preserve"> </w:t>
      </w:r>
      <w:r>
        <w:t xml:space="preserve">- объектный интеграционный модуль для доступа к функциям</w:t>
      </w:r>
      <w:r>
        <w:t xml:space="preserve"> </w:t>
      </w:r>
      <w:r>
        <w:t xml:space="preserve">ИРБИС 128 из внешней среды через JSON-RPC 2.0. Модуль регистрирует серверный</w:t>
      </w:r>
      <w:r>
        <w:t xml:space="preserve"> </w:t>
      </w:r>
      <w:r>
        <w:t xml:space="preserve">объект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; методы этого объекта являются публичными</w:t>
      </w:r>
      <w:r>
        <w:t xml:space="preserve"> </w:t>
      </w:r>
      <w:r>
        <w:t xml:space="preserve">JSON-RPC методами и делегируют выполнение профильным модулям системы: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Start w:id="9" w:name="основные-направления-интеграции"/>
    <w:p>
      <w:pPr>
        <w:pStyle w:val="Heading2"/>
      </w:pPr>
      <w:r>
        <w:t xml:space="preserve">1. Основные направления интеграции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Направление</w:t>
            </w:r>
          </w:p>
        </w:tc>
        <w:tc>
          <w:tcPr/>
          <w:p>
            <w:pPr>
              <w:pStyle w:val="Compact"/>
            </w:pPr>
            <w:r>
              <w:t xml:space="preserve">Методы JSON-RPC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Учетные записи пользователей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UpdateUser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DelUser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Формуляр читателя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Заказы на издания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GetOrders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Продление выдачи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Экземпляры библиографической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справочники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</w:tr>
    </w:tbl>
    <w:bookmarkEnd w:id="9"/>
    <w:bookmarkStart w:id="10" w:name="когда-использовать-модуль"/>
    <w:p>
      <w:pPr>
        <w:pStyle w:val="Heading2"/>
      </w:pPr>
      <w:r>
        <w:t xml:space="preserve">2. Когда использовать модуль</w:t>
      </w:r>
    </w:p>
    <w:p>
      <w:pPr>
        <w:pStyle w:val="FirstParagraph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когда внешней системе нужно работать с читательскими</w:t>
      </w:r>
      <w:r>
        <w:t xml:space="preserve"> </w:t>
      </w:r>
      <w:r>
        <w:t xml:space="preserve">данными и заказами через единый HTTP-интерфейс без прямого подключения к БД</w:t>
      </w:r>
      <w:r>
        <w:t xml:space="preserve"> </w:t>
      </w:r>
      <w:r>
        <w:t xml:space="preserve">ИРБИС. Внешний клиент передает JSON-RPC запросы на endpoint модуля, а сервер</w:t>
      </w:r>
      <w:r>
        <w:t xml:space="preserve"> </w:t>
      </w:r>
      <w:r>
        <w:t xml:space="preserve">ИРБИС 128 выполняет операции в тех БД и модулях, которые настроены в текущей</w:t>
      </w:r>
      <w:r>
        <w:t xml:space="preserve"> </w:t>
      </w:r>
      <w:r>
        <w:t xml:space="preserve">инсталляции.</w:t>
      </w:r>
    </w:p>
    <w:p>
      <w:pPr>
        <w:pStyle w:val="BodyText"/>
      </w:pPr>
      <w:r>
        <w:t xml:space="preserve">Модуль не заменяет пользовательский интерфейс ИРБИС 128. Он предназначен для</w:t>
      </w:r>
      <w:r>
        <w:t xml:space="preserve"> </w:t>
      </w:r>
      <w:r>
        <w:t xml:space="preserve">серверной интеграции: вебхуки, фоновые обмены, витрины личного кабинета,</w:t>
      </w:r>
      <w:r>
        <w:t xml:space="preserve"> </w:t>
      </w:r>
      <w:r>
        <w:t xml:space="preserve">внешние CRM-формы и другие приложения, которым нужен машинный ответ в JSON.</w:t>
      </w:r>
    </w:p>
    <w:bookmarkEnd w:id="10"/>
    <w:bookmarkStart w:id="11" w:name="состав-модуля"/>
    <w:p>
      <w:pPr>
        <w:pStyle w:val="Heading2"/>
      </w:pPr>
      <w:r>
        <w:t xml:space="preserve">3. Состав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__call/GetJsonRPCServer.inc</w:t>
            </w:r>
          </w:p>
        </w:tc>
        <w:tc>
          <w:tcPr/>
          <w:p>
            <w:pPr>
              <w:pStyle w:val="Compact"/>
            </w:pPr>
            <w:r>
              <w:t xml:space="preserve">Создает JSON-RPC сервер и описывает доступные интеграционные функции.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Pages/Test.page</w:t>
            </w:r>
          </w:p>
        </w:tc>
        <w:tc>
          <w:tcPr/>
          <w:p>
            <w:pPr>
              <w:pStyle w:val="Compact"/>
            </w:pPr>
            <w:r>
              <w:t xml:space="preserve">Служебная страница проверки вызовов JSON-RPC и прозрачной авторизации.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Formats/recdata.pft128</w:t>
            </w:r>
          </w:p>
        </w:tc>
        <w:tc>
          <w:tcPr/>
          <w:p>
            <w:pPr>
              <w:pStyle w:val="Compact"/>
            </w:pPr>
            <w:r>
              <w:t xml:space="preserve">Возвращает JSON с содержимым записи, кратким описанием, полным форматом и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api.php</w:t>
            </w:r>
          </w:p>
        </w:tc>
        <w:tc>
          <w:tcPr/>
          <w:p>
            <w:pPr>
              <w:pStyle w:val="Compact"/>
            </w:pPr>
            <w:r>
              <w:t xml:space="preserve">Настраивает объектный модуль</w:t>
            </w:r>
            <w:r>
              <w:t xml:space="preserve"> </w:t>
            </w:r>
            <w:r>
              <w:rPr>
                <w:rStyle w:val="VerbatimChar"/>
              </w:rPr>
              <w:t xml:space="preserve">Bitrix24</w:t>
            </w:r>
            <w:r>
              <w:t xml:space="preserve">, тип записи и список зарегистрированных RPC-методов.</w:t>
            </w:r>
          </w:p>
        </w:tc>
      </w:tr>
    </w:tbl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FirstParagraph"/>
      </w:pPr>
      <w:r>
        <w:t xml:space="preserve">Доступность методов зависит от настроек модулей, БД читателей, БД заказов,</w:t>
      </w:r>
      <w:r>
        <w:t xml:space="preserve"> </w:t>
      </w:r>
      <w:r>
        <w:t xml:space="preserve">каталогов, прав текущего сайта и доступности внешних сервисов авторизации.</w:t>
      </w:r>
      <w:r>
        <w:t xml:space="preserve"> </w:t>
      </w:r>
      <w:r>
        <w:t xml:space="preserve">Методы возвращают данные в структуре ИРБИС 128: массивы полей записей,</w:t>
      </w:r>
      <w:r>
        <w:t xml:space="preserve"> </w:t>
      </w:r>
      <w:r>
        <w:t xml:space="preserve">идентификаторы БД, шифры записей, даты в форматах, которые использует</w:t>
      </w:r>
      <w:r>
        <w:t xml:space="preserve"> </w:t>
      </w:r>
      <w:r>
        <w:t xml:space="preserve">соответствующий модуль.</w:t>
      </w:r>
    </w:p>
    <w:p>
      <w:pPr>
        <w:pStyle w:val="BodyText"/>
      </w:pPr>
      <w:r>
        <w:t xml:space="preserve">Служебная страница</w:t>
      </w:r>
      <w:r>
        <w:t xml:space="preserve"> </w:t>
      </w:r>
      <w:r>
        <w:rPr>
          <w:rStyle w:val="VerbatimChar"/>
        </w:rPr>
        <w:t xml:space="preserve">?id=Bitrix24/Test</w:t>
      </w:r>
      <w:r>
        <w:t xml:space="preserve"> </w:t>
      </w:r>
      <w:r>
        <w:t xml:space="preserve">содержит фиксированные параметры стенда</w:t>
      </w:r>
      <w:r>
        <w:t xml:space="preserve"> </w:t>
      </w:r>
      <w:r>
        <w:t xml:space="preserve">и предназначена для проверки интеграции разработчиком или администратором, а</w:t>
      </w:r>
      <w:r>
        <w:t xml:space="preserve"> </w:t>
      </w:r>
      <w:r>
        <w:t xml:space="preserve">не для пользовательской работы. При изменении набора RPC-методов нужно</w:t>
      </w:r>
      <w:r>
        <w:t xml:space="preserve"> </w:t>
      </w:r>
      <w:r>
        <w:t xml:space="preserve">синхронно обновлять список</w:t>
      </w:r>
      <w:r>
        <w:t xml:space="preserve"> </w:t>
      </w:r>
      <w:r>
        <w:rPr>
          <w:rStyle w:val="VerbatimChar"/>
        </w:rPr>
        <w:t xml:space="preserve">_registeredRPC</w:t>
      </w:r>
      <w:r>
        <w:t xml:space="preserve">, реализацию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 </w:t>
      </w:r>
      <w:r>
        <w:t xml:space="preserve">и Help-описание.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2026-08-30T08:18:59Z</dcterms:created>
  <dcterms:modified xsi:type="dcterms:W3CDTF">2026-08-30T08:18:59Z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