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Queue Для Разработчика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queue-для-разработчика"/>
    <w:p>
      <w:pPr>
        <w:pStyle w:val="Heading1"/>
      </w:pPr>
      <w:r>
        <w:t xml:space="preserve">Queue Для Разработчика</w:t>
      </w:r>
    </w:p>
    <w:p>
      <w:pPr>
        <w:pStyle w:val="FirstParagraph"/>
      </w:pPr>
      <w:r>
        <w:t xml:space="preserve">Модуль Queue является общесистемным runtime-слоем фонового выполнения. Он хранит задания, управляет их состоянием, retry-политикой, расписанием запуска, дедупликацией на уровне задания, dead-letter диагностикой и техническим контекстом выполнения. Доменные правила остаются в модулях-владельцах.</w:t>
      </w:r>
    </w:p>
    <w:bookmarkStart w:id="9" w:name="handler-definition"/>
    <w:p>
      <w:pPr>
        <w:pStyle w:val="Heading2"/>
      </w:pPr>
      <w:r>
        <w:t xml:space="preserve">1. Handler Definition</w:t>
      </w:r>
    </w:p>
    <w:p>
      <w:pPr>
        <w:pStyle w:val="FirstParagraph"/>
      </w:pPr>
      <w:r>
        <w:t xml:space="preserve">Модуль-владелец регистрирует handler через</w:t>
      </w:r>
      <w:r>
        <w:t xml:space="preserve"> </w:t>
      </w:r>
      <w:r>
        <w:rPr>
          <w:rStyle w:val="VerbatimChar"/>
        </w:rPr>
        <w:t xml:space="preserve">RegisterHandlerDefinition</w:t>
      </w:r>
      <w:r>
        <w:t xml:space="preserve">. Handler описывает:</w:t>
      </w:r>
    </w:p>
    <w:p>
      <w:pPr>
        <w:pStyle w:val="Compact"/>
        <w:numPr>
          <w:ilvl w:val="0"/>
          <w:numId w:val="1001"/>
        </w:numPr>
      </w:pPr>
      <w:r>
        <w:t xml:space="preserve">стабильный ключ handler-а;</w:t>
      </w:r>
    </w:p>
    <w:p>
      <w:pPr>
        <w:pStyle w:val="Compact"/>
        <w:numPr>
          <w:ilvl w:val="0"/>
          <w:numId w:val="1001"/>
        </w:numPr>
      </w:pPr>
      <w:r>
        <w:t xml:space="preserve">модуль-владелец;</w:t>
      </w:r>
    </w:p>
    <w:p>
      <w:pPr>
        <w:pStyle w:val="Compact"/>
        <w:numPr>
          <w:ilvl w:val="0"/>
          <w:numId w:val="1001"/>
        </w:numPr>
      </w:pPr>
      <w:r>
        <w:t xml:space="preserve">action, который будет выполнять задание;</w:t>
      </w:r>
    </w:p>
    <w:p>
      <w:pPr>
        <w:pStyle w:val="Compact"/>
        <w:numPr>
          <w:ilvl w:val="0"/>
          <w:numId w:val="1001"/>
        </w:numPr>
      </w:pPr>
      <w:r>
        <w:t xml:space="preserve">версию контракта;</w:t>
      </w:r>
    </w:p>
    <w:p>
      <w:pPr>
        <w:pStyle w:val="Compact"/>
        <w:numPr>
          <w:ilvl w:val="0"/>
          <w:numId w:val="1001"/>
        </w:numPr>
      </w:pPr>
      <w:r>
        <w:t xml:space="preserve">канал выполнения;</w:t>
      </w:r>
    </w:p>
    <w:p>
      <w:pPr>
        <w:pStyle w:val="Compact"/>
        <w:numPr>
          <w:ilvl w:val="0"/>
          <w:numId w:val="1001"/>
        </w:numPr>
      </w:pPr>
      <w:r>
        <w:t xml:space="preserve">класс операции;</w:t>
      </w:r>
    </w:p>
    <w:p>
      <w:pPr>
        <w:pStyle w:val="Compact"/>
        <w:numPr>
          <w:ilvl w:val="0"/>
          <w:numId w:val="1001"/>
        </w:numPr>
      </w:pPr>
      <w:r>
        <w:t xml:space="preserve">timeout;</w:t>
      </w:r>
    </w:p>
    <w:p>
      <w:pPr>
        <w:pStyle w:val="Compact"/>
        <w:numPr>
          <w:ilvl w:val="0"/>
          <w:numId w:val="1001"/>
        </w:numPr>
      </w:pPr>
      <w:r>
        <w:t xml:space="preserve">retry-policy;</w:t>
      </w:r>
    </w:p>
    <w:p>
      <w:pPr>
        <w:pStyle w:val="Compact"/>
        <w:numPr>
          <w:ilvl w:val="0"/>
          <w:numId w:val="1001"/>
        </w:numPr>
      </w:pPr>
      <w:r>
        <w:t xml:space="preserve">признаки cancelable, idempotent, progressAware и requiresSecurityRecheck;</w:t>
      </w:r>
    </w:p>
    <w:p>
      <w:pPr>
        <w:pStyle w:val="Compact"/>
        <w:numPr>
          <w:ilvl w:val="0"/>
          <w:numId w:val="1001"/>
        </w:numPr>
      </w:pPr>
      <w:r>
        <w:t xml:space="preserve">схему payload и дополнительную metadata.</w:t>
      </w:r>
    </w:p>
    <w:p>
      <w:pPr>
        <w:pStyle w:val="FirstParagraph"/>
      </w:pPr>
      <w:r>
        <w:t xml:space="preserve">Queue не интерпретирует бизнес-смысл payload. Если задание меняет доменные записи, повторная проверка прав и актуального состояния должна выполняться handler-ом модуля-владельца.</w:t>
      </w:r>
    </w:p>
    <w:bookmarkEnd w:id="9"/>
    <w:bookmarkStart w:id="10" w:name="постановка-задания"/>
    <w:p>
      <w:pPr>
        <w:pStyle w:val="Heading2"/>
      </w:pPr>
      <w:r>
        <w:t xml:space="preserve">2. Постановка Задания</w:t>
      </w:r>
    </w:p>
    <w:p>
      <w:pPr>
        <w:pStyle w:val="FirstParagraph"/>
      </w:pPr>
      <w:r>
        <w:t xml:space="preserve">Для постановки задания по зарегистрированному handler-у используется</w:t>
      </w:r>
      <w:r>
        <w:t xml:space="preserve"> </w:t>
      </w:r>
      <w:r>
        <w:rPr>
          <w:rStyle w:val="VerbatimChar"/>
        </w:rPr>
        <w:t xml:space="preserve">AppendRegisteredJob($handlerKey, $payload, $options)</w:t>
      </w:r>
      <w:r>
        <w:t xml:space="preserve">. Метод нормализует параметры Queue и затем вызывает штатный</w:t>
      </w:r>
      <w:r>
        <w:t xml:space="preserve"> </w:t>
      </w:r>
      <w:r>
        <w:rPr>
          <w:rStyle w:val="VerbatimChar"/>
        </w:rPr>
        <w:t xml:space="preserve">Append</w:t>
      </w:r>
      <w:r>
        <w:t xml:space="preserve">.</w:t>
      </w:r>
    </w:p>
    <w:p>
      <w:pPr>
        <w:pStyle w:val="BodyText"/>
      </w:pPr>
      <w:r>
        <w:t xml:space="preserve">В options можно передать: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queueTraceId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traceId</w:t>
      </w:r>
      <w:r>
        <w:t xml:space="preserve"> </w:t>
      </w:r>
      <w:r>
        <w:t xml:space="preserve">для связи с TraceContext;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queueIdempotencyKey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idempotencyKey</w:t>
      </w:r>
      <w:r>
        <w:t xml:space="preserve"> </w:t>
      </w:r>
      <w:r>
        <w:t xml:space="preserve">для технической дедупликации задания;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queueSourceRef</w:t>
      </w:r>
      <w:r>
        <w:t xml:space="preserve"> </w:t>
      </w:r>
      <w:r>
        <w:t xml:space="preserve">для безопасной ссылки на источник задания;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queueChannelKey</w:t>
      </w:r>
      <w:r>
        <w:t xml:space="preserve"> </w:t>
      </w:r>
      <w:r>
        <w:t xml:space="preserve">для выбора разрешенного канала;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scheduledAt</w:t>
      </w:r>
      <w:r>
        <w:t xml:space="preserve"> </w:t>
      </w:r>
      <w:r>
        <w:t xml:space="preserve">для отложенного запуска;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timeout</w:t>
      </w:r>
      <w:r>
        <w:t xml:space="preserve">,</w:t>
      </w:r>
      <w:r>
        <w:t xml:space="preserve"> </w:t>
      </w:r>
      <w:r>
        <w:rPr>
          <w:rStyle w:val="VerbatimChar"/>
        </w:rPr>
        <w:t xml:space="preserve">donetimeout</w:t>
      </w:r>
      <w:r>
        <w:t xml:space="preserve">,</w:t>
      </w:r>
      <w:r>
        <w:t xml:space="preserve"> </w:t>
      </w:r>
      <w:r>
        <w:rPr>
          <w:rStyle w:val="VerbatimChar"/>
        </w:rPr>
        <w:t xml:space="preserve">restartonerror</w:t>
      </w:r>
      <w:r>
        <w:t xml:space="preserve">,</w:t>
      </w:r>
      <w:r>
        <w:t xml:space="preserve"> </w:t>
      </w:r>
      <w:r>
        <w:rPr>
          <w:rStyle w:val="VerbatimChar"/>
        </w:rPr>
        <w:t xml:space="preserve">max_retries</w:t>
      </w:r>
      <w:r>
        <w:t xml:space="preserve"> </w:t>
      </w:r>
      <w:r>
        <w:t xml:space="preserve">при необходимости переопределения runtime-параметров.</w:t>
      </w:r>
    </w:p>
    <w:p>
      <w:pPr>
        <w:pStyle w:val="FirstParagraph"/>
      </w:pPr>
      <w:r>
        <w:t xml:space="preserve">Queue строит</w:t>
      </w:r>
      <w:r>
        <w:t xml:space="preserve"> </w:t>
      </w:r>
      <w:r>
        <w:rPr>
          <w:rStyle w:val="VerbatimChar"/>
        </w:rPr>
        <w:t xml:space="preserve">queuePayloadFingerprint</w:t>
      </w:r>
      <w:r>
        <w:t xml:space="preserve"> </w:t>
      </w:r>
      <w:r>
        <w:t xml:space="preserve">по стабильной части payload/options. Trace id, время создания, session/csrf и похожие нестабильные поля в fingerprint не входят.</w:t>
      </w:r>
    </w:p>
    <w:bookmarkEnd w:id="10"/>
    <w:bookmarkStart w:id="11" w:name="idempotency"/>
    <w:p>
      <w:pPr>
        <w:pStyle w:val="Heading2"/>
      </w:pPr>
      <w:r>
        <w:t xml:space="preserve">3. Idempotency</w:t>
      </w:r>
    </w:p>
    <w:p>
      <w:pPr>
        <w:pStyle w:val="FirstParagraph"/>
      </w:pPr>
      <w:r>
        <w:t xml:space="preserve">Queue отвечает только за техническую idempotency фонового задания. Бизнес-idempotency событий, переходов workflow, импорта или внешней интеграции остается у соответствующего owner-модуля. Например, EventBus отвечает за idempotency события, а Queue отвечает за повторное выполнение delivery-job.</w:t>
      </w:r>
    </w:p>
    <w:bookmarkEnd w:id="11"/>
    <w:bookmarkStart w:id="12" w:name="безопасность-данных"/>
    <w:p>
      <w:pPr>
        <w:pStyle w:val="Heading2"/>
      </w:pPr>
      <w:r>
        <w:t xml:space="preserve">4. Безопасность Данных</w:t>
      </w:r>
    </w:p>
    <w:p>
      <w:pPr>
        <w:pStyle w:val="FirstParagraph"/>
      </w:pPr>
      <w:r>
        <w:t xml:space="preserve">Payload задания не должен содержать пароли, токены, cookie и другие секреты. При построении runtime context и dead-letter записи Queue маскирует очевидные секретные поля. Если handler-у нужен секрет, в payload передается ссылка на запись Secrets, а сам секрет получает модуль-владелец через штатный защищенный контракт.</w:t>
      </w:r>
    </w:p>
    <w:bookmarkEnd w:id="12"/>
    <w:bookmarkStart w:id="13" w:name="dead-letter"/>
    <w:p>
      <w:pPr>
        <w:pStyle w:val="Heading2"/>
      </w:pPr>
      <w:r>
        <w:t xml:space="preserve">5. Dead Letter</w:t>
      </w:r>
    </w:p>
    <w:p>
      <w:pPr>
        <w:pStyle w:val="FirstParagraph"/>
      </w:pPr>
      <w:r>
        <w:rPr>
          <w:rStyle w:val="VerbatimChar"/>
        </w:rPr>
        <w:t xml:space="preserve">BuildDeadLetterEntry</w:t>
      </w:r>
      <w:r>
        <w:t xml:space="preserve"> </w:t>
      </w:r>
      <w:r>
        <w:t xml:space="preserve">формирует диагностическую запись по заданию, причине и деталям.</w:t>
      </w:r>
      <w:r>
        <w:t xml:space="preserve"> </w:t>
      </w:r>
      <w:r>
        <w:rPr>
          <w:rStyle w:val="VerbatimChar"/>
        </w:rPr>
        <w:t xml:space="preserve">MoveJobToDeadLetter</w:t>
      </w:r>
      <w:r>
        <w:t xml:space="preserve"> </w:t>
      </w:r>
      <w:r>
        <w:t xml:space="preserve">переводит задание в fatal-состояние и сохраняет dead-letter envelope в</w:t>
      </w:r>
      <w:r>
        <w:t xml:space="preserve"> </w:t>
      </w:r>
      <w:r>
        <w:rPr>
          <w:rStyle w:val="VerbatimChar"/>
        </w:rPr>
        <w:t xml:space="preserve">result</w:t>
      </w:r>
      <w:r>
        <w:t xml:space="preserve">. Ручной повтор допустим только после проверки актуальности handler-а, payload, прав и доменного состояния.</w:t>
      </w:r>
    </w:p>
    <w:bookmarkEnd w:id="13"/>
    <w:bookmarkStart w:id="14" w:name="healthcheck-и-testa"/>
    <w:p>
      <w:pPr>
        <w:pStyle w:val="Heading2"/>
      </w:pPr>
      <w:r>
        <w:t xml:space="preserve">6. HealthCheck И TestA</w:t>
      </w:r>
    </w:p>
    <w:p>
      <w:pPr>
        <w:pStyle w:val="FirstParagraph"/>
      </w:pPr>
      <w:r>
        <w:rPr>
          <w:rStyle w:val="VerbatimChar"/>
        </w:rPr>
        <w:t xml:space="preserve">HealthCheck_Self</w:t>
      </w:r>
      <w:r>
        <w:t xml:space="preserve"> </w:t>
      </w:r>
      <w:r>
        <w:t xml:space="preserve">возвращает provider-результат Queue: наличие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, базовую схему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, наличие runtime registry и доступность системных JSON-описаний.</w:t>
      </w:r>
    </w:p>
    <w:p>
      <w:pPr>
        <w:pStyle w:val="BodyText"/>
      </w:pPr>
      <w:r>
        <w:t xml:space="preserve">Safe-read TestA-проверка Queue покрывает загрузку модуля, регистрацию handler/channel, нормализацию задания, fingerprint, runtime context, dead-letter envelope, JSON-описания и HealthCheck. Write-проверки Queue остаются отдельными изолированными сценариями.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Queue Для Разработчика</dc:title>
  <dc:creator/>
  <cp:keywords/>
  <dcterms:created xsi:type="dcterms:W3CDTF">2026-11-02T16:39:06Z</dcterms:created>
  <dcterms:modified xsi:type="dcterms:W3CDTF">2026-11-02T16:39:06Z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