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1" w:name="api-ирбис-64128"/>
    <w:p>
      <w:pPr>
        <w:pStyle w:val="Heading1"/>
      </w:pPr>
      <w:r>
        <w:t xml:space="preserve">API 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объединяет сервисы ИРБИС 64/128 для внешних приложений. Через него интеграционные клиенты могут обращаться к функциям читателей, заказов, продления, поиска записей, терминов, фасетов и сведений об экземплярах.</w:t>
      </w:r>
    </w:p>
    <w:p>
      <w:pPr>
        <w:pStyle w:val="BodyText"/>
      </w:pPr>
      <w:r>
        <w:t xml:space="preserve">Модуль также хранит реестр API-контрактов, профили внешней интеграции, mapping profiles, ExternalId, SyncPolicy и ConflictPolicy. Контракты описывают опубликованные методы, версии, транспорты, права, идемпотентность, диагностику и TestA-проверки. Профили интеграции ссылаются на контракт и настройки transport/security/secrets, но не содержат значений секретов. Mapping profiles и ExternalId задают безопасное сопоставление внешних объектов с внутренними object types без записи внешних ключей в частные поля доменных модулей. SyncPolicy и ConflictPolicy позволяют построить объяснимый план синхронизации без прямого изменения доменных записей внутри API.</w:t>
      </w:r>
    </w:p>
    <w:bookmarkStart w:id="15" w:name="назначение-модуля-api"/>
    <w:p>
      <w:pPr>
        <w:pStyle w:val="Heading2"/>
      </w:pPr>
      <w:r>
        <w:t xml:space="preserve">Назначение модуля API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предоставляет единый JSON-RPC сервер для интеграции внешних приложений с ИРБИС 128 и владеет реестром публичных API-контрактов. Модуль собирает в одной точке методы, которые внутри системы выполняются модулями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и дает им стабильное metadata-описание.</w:t>
      </w:r>
    </w:p>
    <w:p>
      <w:pPr>
        <w:pStyle w:val="BodyText"/>
      </w:pPr>
      <w:r>
        <w:t xml:space="preserve">Административные записи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используются для API-контрактов, профилей внешней интеграции, mapping profiles, ExternalId, SyncPolicy и ConflictPolicy. Контракт фиксирует ключ, версию, статус публикации, методы, ресурсы, transport references, права, идемпотентность, Help и TestA. Профиль интеграции ссылается на контракт и задает внешнюю систему, направление обмена, transport profile, security subject и ссылки на Secrets. MappingProfile описывает сопоставление внешних полей, статусов, участников и файлов с системными контрактами ИРБИС 128. ExternalId связывает внешний идентификатор с внутренним object type и record reference. SyncPolicy и ConflictPolicy описывают dry-run sync, explainable diff и безопасный contract передачи изменений доменному модулю.</w:t>
      </w:r>
    </w:p>
    <w:p>
      <w:pPr>
        <w:pStyle w:val="BodyText"/>
      </w:pPr>
      <w:r>
        <w:t xml:space="preserve">Основная точка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Параметр</w:t>
      </w:r>
      <w:r>
        <w:t xml:space="preserve"> </w:t>
      </w:r>
      <w:r>
        <w:rPr>
          <w:rStyle w:val="VerbatimChar"/>
        </w:rPr>
        <w:t xml:space="preserve">i128Module=API</w:t>
      </w:r>
      <w:r>
        <w:t xml:space="preserve"> </w:t>
      </w:r>
      <w:r>
        <w:t xml:space="preserve">выбирает JSON-RPC сервер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.</w:t>
      </w:r>
    </w:p>
    <w:bookmarkStart w:id="14" w:name="группы-методов"/>
    <w:p>
      <w:pPr>
        <w:pStyle w:val="Heading3"/>
      </w:pPr>
      <w:r>
        <w:t xml:space="preserve">1. Группы методов</w:t>
      </w:r>
    </w:p>
    <w:p>
      <w:pPr>
        <w:pStyle w:val="Compact"/>
        <w:numPr>
          <w:ilvl w:val="0"/>
          <w:numId w:val="1001"/>
        </w:numPr>
      </w:pPr>
      <w:r>
        <w:t xml:space="preserve">учетные записи читателей:</w:t>
      </w:r>
      <w:r>
        <w:t xml:space="preserve"> </w:t>
      </w:r>
      <w:r>
        <w:rPr>
          <w:rStyle w:val="VerbatimChar"/>
        </w:rPr>
        <w:t xml:space="preserve">GetUser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AddUser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UserFormular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заказы и продление:</w:t>
      </w:r>
      <w:r>
        <w:t xml:space="preserve"> </w:t>
      </w:r>
      <w:r>
        <w:rPr>
          <w:rStyle w:val="VerbatimChar"/>
        </w:rPr>
        <w:t xml:space="preserve">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BookReturnProlongation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сведения об экземплярах:</w:t>
      </w:r>
      <w:r>
        <w:t xml:space="preserve"> </w:t>
      </w:r>
      <w:r>
        <w:rPr>
          <w:rStyle w:val="VerbatimChar"/>
        </w:rPr>
        <w:t xml:space="preserve">GetExemplarsInfo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.</w:t>
      </w:r>
    </w:p>
    <w:p>
      <w:pPr>
        <w:pStyle w:val="FirstParagraph"/>
      </w:pPr>
      <w:r>
        <w:t xml:space="preserve">Описание параметров и возвращаемых значений находится в разделе</w:t>
      </w:r>
      <w:r>
        <w:t xml:space="preserve"> </w:t>
      </w:r>
      <w:hyperlink r:id="rId9">
        <w:r>
          <w:rPr>
            <w:rStyle w:val="Hyperlink"/>
          </w:rPr>
          <w:t xml:space="preserve">JSON-RPC API модуля API</w:t>
        </w:r>
      </w:hyperlink>
      <w:r>
        <w:t xml:space="preserve">.</w:t>
      </w:r>
    </w:p>
    <w:p>
      <w:pPr>
        <w:pStyle w:val="BodyText"/>
      </w:pPr>
      <w:r>
        <w:t xml:space="preserve">Описание contract registry, профилей интеграции, mapping, ExternalId и sync/conflict policies находится в разделах</w:t>
      </w:r>
      <w:r>
        <w:t xml:space="preserve"> </w:t>
      </w:r>
      <w:hyperlink r:id="rId10">
        <w:r>
          <w:rPr>
            <w:rStyle w:val="Hyperlink"/>
          </w:rPr>
          <w:t xml:space="preserve">API-контракты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Профили внешней интеграции</w:t>
        </w:r>
      </w:hyperlink>
      <w:r>
        <w:t xml:space="preserve">,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 </w:t>
      </w:r>
      <w:r>
        <w:t xml:space="preserve">и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4"/>
    <w:bookmarkEnd w:id="15"/>
    <w:bookmarkStart w:id="20" w:name="api-контракты"/>
    <w:p>
      <w:pPr>
        <w:pStyle w:val="Heading2"/>
      </w:pPr>
      <w:r>
        <w:t xml:space="preserve">API-контракты</w:t>
      </w:r>
    </w:p>
    <w:p>
      <w:pPr>
        <w:pStyle w:val="FirstParagraph"/>
      </w:pPr>
      <w:r>
        <w:t xml:space="preserve">API-контракт описывает опубликованную API-поверхность ИРБИС 128: стабильный ключ, версию, статус публикации, список методов и ресурсов, supported transports, права, идемпотентность, диагностику, Help и TestA-проверки.</w:t>
      </w:r>
    </w:p>
    <w:bookmarkStart w:id="16" w:name="системный-контракт"/>
    <w:p>
      <w:pPr>
        <w:pStyle w:val="Heading3"/>
      </w:pPr>
      <w:r>
        <w:t xml:space="preserve">1. Системный контракт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автоматически публикует контракт</w:t>
      </w:r>
      <w:r>
        <w:t xml:space="preserve"> </w:t>
      </w:r>
      <w:r>
        <w:rPr>
          <w:rStyle w:val="VerbatimChar"/>
        </w:rPr>
        <w:t xml:space="preserve">api.legacy-jsonrpc.v1</w:t>
      </w:r>
      <w:r>
        <w:t xml:space="preserve">. Он описывает существующую JSON-RPC точку:</w:t>
      </w:r>
    </w:p>
    <w:p>
      <w:pPr>
        <w:pStyle w:val="SourceCode"/>
      </w:pPr>
      <w:r>
        <w:rPr>
          <w:rStyle w:val="VerbatimChar"/>
        </w:rPr>
        <w:t xml:space="preserve">JSONRPC.php?i128Module=API</w:t>
      </w:r>
    </w:p>
    <w:p>
      <w:pPr>
        <w:pStyle w:val="FirstParagraph"/>
      </w:pPr>
      <w:r>
        <w:t xml:space="preserve">Поведение legacy JSON-RPC методов при этом не меняется. Контракт только делает их metadata машиночитаемой для администраторов, внешних потребителей, HealthCheck и TestA.</w:t>
      </w:r>
    </w:p>
    <w:bookmarkEnd w:id="16"/>
    <w:bookmarkStart w:id="17" w:name="записи-api-контрактов"/>
    <w:p>
      <w:pPr>
        <w:pStyle w:val="Heading3"/>
      </w:pPr>
      <w:r>
        <w:t xml:space="preserve">2. Записи API-контрактов</w:t>
      </w:r>
    </w:p>
    <w:p>
      <w:pPr>
        <w:pStyle w:val="FirstParagraph"/>
      </w:pPr>
      <w:r>
        <w:t xml:space="preserve">Дополнительный контракт можно завести как управляемую запись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API-контракт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Ключ</w:t>
      </w:r>
      <w:r>
        <w:t xml:space="preserve"> </w:t>
      </w:r>
      <w:r>
        <w:t xml:space="preserve">- стабильный технический ключ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Название</w:t>
      </w:r>
      <w:r>
        <w:t xml:space="preserve"> </w:t>
      </w:r>
      <w:r>
        <w:t xml:space="preserve">- человекочитаемое имя для администратора.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Версия</w:t>
      </w:r>
      <w:r>
        <w:t xml:space="preserve"> </w:t>
      </w:r>
      <w:r>
        <w:t xml:space="preserve">- версия контракта.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Статус публикации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Черновик</w:t>
      </w:r>
      <w:r>
        <w:t xml:space="preserve">,</w:t>
      </w:r>
      <w:r>
        <w:t xml:space="preserve"> </w:t>
      </w:r>
      <w:r>
        <w:rPr>
          <w:rStyle w:val="VerbatimChar"/>
        </w:rPr>
        <w:t xml:space="preserve">Опубликован</w:t>
      </w:r>
      <w:r>
        <w:t xml:space="preserve">,</w:t>
      </w:r>
      <w:r>
        <w:t xml:space="preserve"> </w:t>
      </w:r>
      <w:r>
        <w:rPr>
          <w:rStyle w:val="VerbatimChar"/>
        </w:rPr>
        <w:t xml:space="preserve">Устаревает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Выключен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Транспорты</w:t>
      </w:r>
      <w:r>
        <w:t xml:space="preserve"> </w:t>
      </w:r>
      <w:r>
        <w:t xml:space="preserve">- ссылки на transport-layer, например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Методы</w:t>
      </w:r>
      <w:r>
        <w:t xml:space="preserve"> </w:t>
      </w:r>
      <w:r>
        <w:t xml:space="preserve">- методы, входящие в контракт.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Ресурсы</w:t>
      </w:r>
      <w:r>
        <w:t xml:space="preserve"> </w:t>
      </w:r>
      <w:r>
        <w:t xml:space="preserve">- логические ресурсы контракта.</w:t>
      </w:r>
    </w:p>
    <w:p>
      <w:pPr>
        <w:pStyle w:val="FirstParagraph"/>
      </w:pPr>
      <w:r>
        <w:t xml:space="preserve">Черновики не попадают в обычный публичный экспорт. Они доступны для административных проверок и HealthCheck при включении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.</w:t>
      </w:r>
    </w:p>
    <w:bookmarkEnd w:id="17"/>
    <w:bookmarkStart w:id="18" w:name="границы-ответственности"/>
    <w:p>
      <w:pPr>
        <w:pStyle w:val="Heading3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contract registry, версиями методов и ресурсов, metadata, idempotency contract и API diagnostics.</w:t>
      </w:r>
    </w:p>
    <w:p>
      <w:pPr>
        <w:pStyle w:val="BodyText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REST</w:t>
      </w:r>
      <w:r>
        <w:t xml:space="preserve"> </w:t>
      </w:r>
      <w:r>
        <w:t xml:space="preserve">остаются transport-слоями. Они принимают запросы и маршрутизируют вызовы, но не владеют API-контрактами.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хранит только metadata о требуемых правах и обязан обращаться к Security в runtime-операциях.</w:t>
      </w:r>
    </w:p>
    <w:p>
      <w:pPr>
        <w:pStyle w:val="BodyText"/>
      </w:pPr>
      <w:r>
        <w:rPr>
          <w:rStyle w:val="VerbatimChar"/>
        </w:rPr>
        <w:t xml:space="preserve">Secrets</w:t>
      </w:r>
      <w:r>
        <w:t xml:space="preserve"> </w:t>
      </w:r>
      <w:r>
        <w:t xml:space="preserve">хранит значения секретов. В API-контрактах и экспорте допустимы только ссылки на secrets.</w:t>
      </w:r>
    </w:p>
    <w:p>
      <w:pPr>
        <w:pStyle w:val="BodyText"/>
      </w:pPr>
      <w:r>
        <w:t xml:space="preserve">Доменные модули владеют бизнес-операциями и применением изменений.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не должен знать внутреннюю структуру их записей сверх опубликованной metadata.</w:t>
      </w:r>
    </w:p>
    <w:bookmarkEnd w:id="18"/>
    <w:bookmarkStart w:id="19" w:name="проверки"/>
    <w:p>
      <w:pPr>
        <w:pStyle w:val="Heading3"/>
      </w:pPr>
      <w:r>
        <w:t xml:space="preserve">4.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API/ValidateContractMetadata</w:t>
      </w:r>
      <w:r>
        <w:t xml:space="preserve"> </w:t>
      </w:r>
      <w:r>
        <w:t xml:space="preserve">проверяет форму одного контракта. 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проверяет системный legacy-контракт, дополнительные записи, metadata методов и отсутствие secret values в export.</w:t>
      </w:r>
    </w:p>
    <w:bookmarkEnd w:id="19"/>
    <w:bookmarkEnd w:id="20"/>
    <w:bookmarkStart w:id="24" w:name="профили-внешней-интеграции"/>
    <w:p>
      <w:pPr>
        <w:pStyle w:val="Heading2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21" w:name="что-хранит-профиль"/>
    <w:p>
      <w:pPr>
        <w:pStyle w:val="Heading3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3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3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3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3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3"/>
        </w:numPr>
      </w:pPr>
      <w:r>
        <w:t xml:space="preserve">transport profile;</w:t>
      </w:r>
    </w:p>
    <w:p>
      <w:pPr>
        <w:pStyle w:val="Compact"/>
        <w:numPr>
          <w:ilvl w:val="0"/>
          <w:numId w:val="1003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3"/>
        </w:numPr>
      </w:pPr>
      <w:r>
        <w:t xml:space="preserve">ссылки на Secrets;</w:t>
      </w:r>
    </w:p>
    <w:p>
      <w:pPr>
        <w:pStyle w:val="Compact"/>
        <w:numPr>
          <w:ilvl w:val="0"/>
          <w:numId w:val="1003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3"/>
        </w:numPr>
      </w:pPr>
      <w:r>
        <w:t xml:space="preserve">idempotency policy;</w:t>
      </w:r>
    </w:p>
    <w:p>
      <w:pPr>
        <w:pStyle w:val="Compact"/>
        <w:numPr>
          <w:ilvl w:val="0"/>
          <w:numId w:val="1003"/>
        </w:numPr>
      </w:pPr>
      <w:r>
        <w:t xml:space="preserve">external id policy;</w:t>
      </w:r>
    </w:p>
    <w:p>
      <w:pPr>
        <w:pStyle w:val="Compact"/>
        <w:numPr>
          <w:ilvl w:val="0"/>
          <w:numId w:val="1003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3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21"/>
    <w:bookmarkStart w:id="22" w:name="что-не-входит-в-профиль"/>
    <w:p>
      <w:pPr>
        <w:pStyle w:val="Heading3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4"/>
        </w:numPr>
      </w:pPr>
      <w:r>
        <w:t xml:space="preserve">Доменные модули применяют изменения и проверяют бизнес-правила.</w:t>
      </w:r>
    </w:p>
    <w:bookmarkEnd w:id="22"/>
    <w:bookmarkStart w:id="23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3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23"/>
    <w:bookmarkEnd w:id="24"/>
    <w:bookmarkStart w:id="30" w:name="mapping-и-externalid"/>
    <w:p>
      <w:pPr>
        <w:pStyle w:val="Heading2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25" w:name="externalid"/>
    <w:p>
      <w:pPr>
        <w:pStyle w:val="Heading3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5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5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object type;</w:t>
      </w:r>
    </w:p>
    <w:p>
      <w:pPr>
        <w:pStyle w:val="Compact"/>
        <w:numPr>
          <w:ilvl w:val="0"/>
          <w:numId w:val="1005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5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5"/>
        </w:numPr>
      </w:pPr>
      <w:r>
        <w:t xml:space="preserve">статус связи;</w:t>
      </w:r>
    </w:p>
    <w:p>
      <w:pPr>
        <w:pStyle w:val="Compact"/>
        <w:numPr>
          <w:ilvl w:val="0"/>
          <w:numId w:val="1005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5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25"/>
    <w:bookmarkStart w:id="26" w:name="mappingprofile"/>
    <w:p>
      <w:pPr>
        <w:pStyle w:val="Heading3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6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6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6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6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26"/>
    <w:bookmarkStart w:id="27" w:name="dry-run"/>
    <w:p>
      <w:pPr>
        <w:pStyle w:val="Heading3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27"/>
    <w:bookmarkStart w:id="28" w:name="where-used"/>
    <w:p>
      <w:pPr>
        <w:pStyle w:val="Heading3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28"/>
    <w:bookmarkStart w:id="29" w:name="границы-ответственности-1"/>
    <w:p>
      <w:pPr>
        <w:pStyle w:val="Heading3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29"/>
    <w:bookmarkEnd w:id="30"/>
    <w:bookmarkStart w:id="35" w:name="syncpolicy-и-conflictpolicy"/>
    <w:p>
      <w:pPr>
        <w:pStyle w:val="Heading2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31" w:name="syncpolicy"/>
    <w:p>
      <w:pPr>
        <w:pStyle w:val="Heading3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7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7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7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7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7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source-of-truth policy;</w:t>
      </w:r>
    </w:p>
    <w:p>
      <w:pPr>
        <w:pStyle w:val="Compact"/>
        <w:numPr>
          <w:ilvl w:val="0"/>
          <w:numId w:val="1007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7"/>
        </w:numPr>
      </w:pPr>
      <w:r>
        <w:t xml:space="preserve">idempotency scope;</w:t>
      </w:r>
    </w:p>
    <w:p>
      <w:pPr>
        <w:pStyle w:val="Compact"/>
        <w:numPr>
          <w:ilvl w:val="0"/>
          <w:numId w:val="1007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7"/>
        </w:numPr>
      </w:pPr>
      <w:r>
        <w:t xml:space="preserve">stale data policy;</w:t>
      </w:r>
    </w:p>
    <w:p>
      <w:pPr>
        <w:pStyle w:val="Compact"/>
        <w:numPr>
          <w:ilvl w:val="0"/>
          <w:numId w:val="1007"/>
        </w:numPr>
      </w:pPr>
      <w:r>
        <w:t xml:space="preserve">retry eligibility;</w:t>
      </w:r>
    </w:p>
    <w:p>
      <w:pPr>
        <w:pStyle w:val="Compact"/>
        <w:numPr>
          <w:ilvl w:val="0"/>
          <w:numId w:val="1007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31"/>
    <w:bookmarkStart w:id="32" w:name="conflictpolicy"/>
    <w:p>
      <w:pPr>
        <w:pStyle w:val="Heading3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32"/>
    <w:bookmarkStart w:id="33" w:name="dry-run-sync"/>
    <w:p>
      <w:pPr>
        <w:pStyle w:val="Heading3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9"/>
        </w:numPr>
      </w:pPr>
      <w:r>
        <w:t xml:space="preserve">normalized payload;</w:t>
      </w:r>
    </w:p>
    <w:p>
      <w:pPr>
        <w:pStyle w:val="Compact"/>
        <w:numPr>
          <w:ilvl w:val="0"/>
          <w:numId w:val="1009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9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9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9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9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9"/>
        </w:numPr>
      </w:pPr>
      <w:r>
        <w:t xml:space="preserve">conflict classes;</w:t>
      </w:r>
    </w:p>
    <w:p>
      <w:pPr>
        <w:pStyle w:val="Compact"/>
        <w:numPr>
          <w:ilvl w:val="0"/>
          <w:numId w:val="1009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9"/>
        </w:numPr>
      </w:pPr>
      <w:r>
        <w:t xml:space="preserve">idempotency fingerprint;</w:t>
      </w:r>
    </w:p>
    <w:p>
      <w:pPr>
        <w:pStyle w:val="Compact"/>
        <w:numPr>
          <w:ilvl w:val="0"/>
          <w:numId w:val="1009"/>
        </w:numPr>
      </w:pPr>
      <w:r>
        <w:t xml:space="preserve">trace metadata;</w:t>
      </w:r>
    </w:p>
    <w:p>
      <w:pPr>
        <w:pStyle w:val="Compact"/>
        <w:numPr>
          <w:ilvl w:val="0"/>
          <w:numId w:val="1009"/>
        </w:numPr>
      </w:pPr>
      <w:r>
        <w:t xml:space="preserve">Security summary;</w:t>
      </w:r>
    </w:p>
    <w:p>
      <w:pPr>
        <w:pStyle w:val="Compact"/>
        <w:numPr>
          <w:ilvl w:val="0"/>
          <w:numId w:val="1009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33"/>
    <w:bookmarkStart w:id="34" w:name="границы-ответственности-2"/>
    <w:p>
      <w:pPr>
        <w:pStyle w:val="Heading3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34"/>
    <w:bookmarkEnd w:id="35"/>
    <w:bookmarkStart w:id="105" w:name="json-rpc-api-модуля-api"/>
    <w:p>
      <w:pPr>
        <w:pStyle w:val="Heading2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36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41" w:name="функция-getuseruser_id"/>
    <w:p>
      <w:pPr>
        <w:pStyle w:val="Heading3"/>
      </w:pPr>
      <w:r>
        <w:t xml:space="preserve">Функция GetUser($user_id)</w:t>
      </w:r>
    </w:p>
    <w:bookmarkStart w:id="37" w:name="описание-функции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37"/>
    <w:bookmarkStart w:id="38" w:name="параметры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38"/>
    <w:bookmarkStart w:id="39" w:name="возвращаемые-значения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39"/>
    <w:bookmarkStart w:id="40" w:name="исключения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40"/>
    <w:bookmarkEnd w:id="41"/>
    <w:bookmarkStart w:id="46" w:name="X981cde75908b2eecb75c3db9cf34bbecbc4b87a"/>
    <w:p>
      <w:pPr>
        <w:pStyle w:val="Heading3"/>
      </w:pPr>
      <w:r>
        <w:t xml:space="preserve">Функция AddUser($user_id = ’’, $user_rec_array = array())</w:t>
      </w:r>
    </w:p>
    <w:bookmarkStart w:id="42" w:name="описание-функции-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42"/>
    <w:bookmarkStart w:id="43" w:name="параметры-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43"/>
    <w:bookmarkStart w:id="44" w:name="возвращаемые-значения-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4"/>
    <w:bookmarkStart w:id="45" w:name="исключения-1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45"/>
    <w:bookmarkEnd w:id="46"/>
    <w:bookmarkStart w:id="51" w:name="функция-deluseruser_id"/>
    <w:p>
      <w:pPr>
        <w:pStyle w:val="Heading3"/>
      </w:pPr>
      <w:r>
        <w:t xml:space="preserve">Функция DelUser($user_id = ’’)</w:t>
      </w:r>
    </w:p>
    <w:bookmarkStart w:id="47" w:name="описание-функции-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47"/>
    <w:bookmarkStart w:id="48" w:name="параметры-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8"/>
    <w:bookmarkStart w:id="49" w:name="возвращаемые-значения-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49"/>
    <w:bookmarkStart w:id="50" w:name="исключения-2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50"/>
    <w:bookmarkEnd w:id="51"/>
    <w:bookmarkStart w:id="55" w:name="X458831fea5ac7cbb1a73ac869bf4d8fe6a9abc2"/>
    <w:p>
      <w:pPr>
        <w:pStyle w:val="Heading3"/>
      </w:pPr>
      <w:r>
        <w:t xml:space="preserve">Функция UpdateUser($user_id = ’’, $user_rec_array = array())</w:t>
      </w:r>
    </w:p>
    <w:bookmarkStart w:id="52" w:name="описание-функции-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52"/>
    <w:bookmarkStart w:id="53" w:name="параметры-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53"/>
    <w:bookmarkStart w:id="54" w:name="исключения-3"/>
    <w:p>
      <w:pPr>
        <w:pStyle w:val="Heading4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54"/>
    <w:bookmarkEnd w:id="55"/>
    <w:bookmarkStart w:id="60" w:name="функция-userformularuser_id"/>
    <w:p>
      <w:pPr>
        <w:pStyle w:val="Heading3"/>
      </w:pPr>
      <w:r>
        <w:t xml:space="preserve">Функция UserFormular($user_id)</w:t>
      </w:r>
    </w:p>
    <w:bookmarkStart w:id="56" w:name="описание-функции-4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56"/>
    <w:bookmarkStart w:id="57" w:name="параметры-4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57"/>
    <w:bookmarkStart w:id="58" w:name="возвращаемые-значения-3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10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0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10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10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10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10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10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10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58"/>
    <w:bookmarkStart w:id="59" w:name="исключения-4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59"/>
    <w:bookmarkEnd w:id="60"/>
    <w:bookmarkStart w:id="65" w:name="X41defcd0e83059f2cb5e0946043d77695248e23"/>
    <w:p>
      <w:pPr>
        <w:pStyle w:val="Heading3"/>
      </w:pPr>
      <w:r>
        <w:t xml:space="preserve">Функция MakeOrder($user_id, $dbn, $record_id, $place_of_issue = ’’)</w:t>
      </w:r>
    </w:p>
    <w:bookmarkStart w:id="61" w:name="описание-функции-5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61"/>
    <w:bookmarkStart w:id="62" w:name="параметры-5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62"/>
    <w:bookmarkStart w:id="63" w:name="возвращаемые-значения-4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3"/>
    <w:bookmarkStart w:id="64" w:name="исключения-5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64"/>
    <w:bookmarkEnd w:id="65"/>
    <w:bookmarkStart w:id="70" w:name="функция-deleteorderuser_id-record_id"/>
    <w:p>
      <w:pPr>
        <w:pStyle w:val="Heading3"/>
      </w:pPr>
      <w:r>
        <w:t xml:space="preserve">Функция DeleteOrder($user_id, $record_id)</w:t>
      </w:r>
    </w:p>
    <w:bookmarkStart w:id="66" w:name="описание-функции-6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66"/>
    <w:bookmarkStart w:id="67" w:name="параметры-6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67"/>
    <w:bookmarkStart w:id="68" w:name="возвращаемые-значения-5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68"/>
    <w:bookmarkStart w:id="69" w:name="исключения-6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69"/>
    <w:bookmarkEnd w:id="70"/>
    <w:bookmarkStart w:id="75" w:name="функция-getordersuser_id"/>
    <w:p>
      <w:pPr>
        <w:pStyle w:val="Heading3"/>
      </w:pPr>
      <w:r>
        <w:t xml:space="preserve">Функция GetOrders($user_id)</w:t>
      </w:r>
    </w:p>
    <w:bookmarkStart w:id="71" w:name="описание-функции-7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71"/>
    <w:bookmarkStart w:id="72" w:name="параметры-7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72"/>
    <w:bookmarkStart w:id="73" w:name="возвращаемые-значения-6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1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1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1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1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1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1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1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1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1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1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1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1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1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73"/>
    <w:bookmarkStart w:id="74" w:name="исключения-7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74"/>
    <w:bookmarkEnd w:id="75"/>
    <w:bookmarkStart w:id="80" w:name="X4021253e8c42228d68df4137ed0834479538ba2"/>
    <w:p>
      <w:pPr>
        <w:pStyle w:val="Heading3"/>
      </w:pPr>
      <w:r>
        <w:t xml:space="preserve">Функция BookReturnProlongation($user_id, $barcode_rfid , $inventory, $new_return_date)</w:t>
      </w:r>
    </w:p>
    <w:bookmarkStart w:id="76" w:name="описание-функции-8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76"/>
    <w:bookmarkStart w:id="77" w:name="параметры-8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77"/>
    <w:bookmarkStart w:id="78" w:name="возвращаемые-значения-7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78"/>
    <w:bookmarkStart w:id="79" w:name="исключения-8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79"/>
    <w:bookmarkEnd w:id="80"/>
    <w:bookmarkStart w:id="85" w:name="функция-getexemplarsinfodbn-record_id"/>
    <w:p>
      <w:pPr>
        <w:pStyle w:val="Heading3"/>
      </w:pPr>
      <w:r>
        <w:t xml:space="preserve">Функция GetExemplarsInfo($dbn, $record_id)</w:t>
      </w:r>
    </w:p>
    <w:bookmarkStart w:id="81" w:name="описание-функции-9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81"/>
    <w:bookmarkStart w:id="82" w:name="параметры-9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82"/>
    <w:bookmarkStart w:id="83" w:name="возвращаемые-значения-8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83"/>
    <w:bookmarkStart w:id="84" w:name="исключения-9"/>
    <w:p>
      <w:pPr>
        <w:pStyle w:val="Heading4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84"/>
    <w:bookmarkEnd w:id="85"/>
    <w:bookmarkStart w:id="91" w:name="X69f82971d4e2878f63cb390e9c47d7b6588015f"/>
    <w:p>
      <w:pPr>
        <w:pStyle w:val="Heading3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86" w:name="описание-функции-10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86"/>
    <w:bookmarkStart w:id="87" w:name="параметры-10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87"/>
    <w:bookmarkStart w:id="89" w:name="возвращаемые-значения-9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88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89"/>
    <w:bookmarkStart w:id="90" w:name="пример-на-языке-php"/>
    <w:p>
      <w:pPr>
        <w:pStyle w:val="Heading4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90"/>
    <w:bookmarkEnd w:id="91"/>
    <w:bookmarkStart w:id="96" w:name="X4d5ba4b9e360c455781e82133ada29a77c61009"/>
    <w:p>
      <w:pPr>
        <w:pStyle w:val="Heading3"/>
      </w:pPr>
      <w:r>
        <w:t xml:space="preserve">Функция RecVirtualFormat($dbn, $format, $rec_array)</w:t>
      </w:r>
    </w:p>
    <w:bookmarkStart w:id="92" w:name="описание-функции-11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2"/>
    <w:bookmarkStart w:id="93" w:name="параметры-11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93"/>
    <w:bookmarkStart w:id="94" w:name="возвращаемые-значения-10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94"/>
    <w:bookmarkStart w:id="95" w:name="пример-параметра-rec_array"/>
    <w:p>
      <w:pPr>
        <w:pStyle w:val="Heading4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95"/>
    <w:bookmarkEnd w:id="96"/>
    <w:bookmarkStart w:id="100" w:name="Xeb9f0b93f55c4f5301794305094a6fba2629715"/>
    <w:p>
      <w:pPr>
        <w:pStyle w:val="Heading3"/>
      </w:pPr>
      <w:r>
        <w:t xml:space="preserve">Функция GetTermList($dbn, $pref, $startTerm, $numTerms=20, $isBack = false, $format=’’)</w:t>
      </w:r>
    </w:p>
    <w:bookmarkStart w:id="97" w:name="описание-функции-12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97"/>
    <w:bookmarkStart w:id="98" w:name="параметры-12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98"/>
    <w:bookmarkStart w:id="99" w:name="возвращаемые-значения-11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99"/>
    <w:bookmarkEnd w:id="100"/>
    <w:bookmarkStart w:id="104" w:name="X21e8252e9a2dce906c17b0b04293a07bb50c054"/>
    <w:p>
      <w:pPr>
        <w:pStyle w:val="Heading3"/>
      </w:pPr>
      <w:r>
        <w:t xml:space="preserve">Функция GetFasets($dbn, $exp, $celltype, $cellnum)</w:t>
      </w:r>
    </w:p>
    <w:bookmarkStart w:id="101" w:name="описание-функции-13"/>
    <w:p>
      <w:pPr>
        <w:pStyle w:val="Heading4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101"/>
    <w:bookmarkStart w:id="102" w:name="параметры-13"/>
    <w:p>
      <w:pPr>
        <w:pStyle w:val="Heading4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2"/>
    <w:bookmarkStart w:id="103" w:name="возвращаемые-значения-12"/>
    <w:p>
      <w:pPr>
        <w:pStyle w:val="Heading4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03"/>
    <w:bookmarkEnd w:id="104"/>
    <w:bookmarkEnd w:id="105"/>
    <w:bookmarkStart w:id="110" w:name="X8257e00f6971b6afa346d0bb438e1302a8f6479"/>
    <w:p>
      <w:pPr>
        <w:pStyle w:val="Heading2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106" w:name="использование"/>
    <w:p>
      <w:pPr>
        <w:pStyle w:val="Heading3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106"/>
    <w:bookmarkStart w:id="107" w:name="как-формируется-результат"/>
    <w:p>
      <w:pPr>
        <w:pStyle w:val="Heading3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7"/>
    <w:bookmarkStart w:id="108" w:name="поля-json"/>
    <w:p>
      <w:pPr>
        <w:pStyle w:val="Heading3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08"/>
    <w:bookmarkStart w:id="109" w:name="ограничения"/>
    <w:p>
      <w:pPr>
        <w:pStyle w:val="Heading3"/>
      </w:pPr>
      <w:r>
        <w:t xml:space="preserve">4. Ограничения</w:t>
      </w:r>
    </w:p>
    <w:p>
      <w:pPr>
        <w:pStyle w:val="Compact"/>
        <w:numPr>
          <w:ilvl w:val="0"/>
          <w:numId w:val="1012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12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12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09"/>
    <w:bookmarkEnd w:id="110"/>
    <w:bookmarkEnd w:id="1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AdapterProfiles" TargetMode="External" /><Relationship Type="http://schemas.openxmlformats.org/officeDocument/2006/relationships/hyperlink" Id="rId10" Target="?id=Help/Show&amp;m=API/Help/Contracts" TargetMode="External" /><Relationship Type="http://schemas.openxmlformats.org/officeDocument/2006/relationships/hyperlink" Id="rId88" Target="?id=Help/Show&amp;m=API/Help/Formats/Info" TargetMode="External" /><Relationship Type="http://schemas.openxmlformats.org/officeDocument/2006/relationships/hyperlink" Id="rId9" Target="?id=Help/Show&amp;m=API/Help/JsonRPC/Root" TargetMode="External" /><Relationship Type="http://schemas.openxmlformats.org/officeDocument/2006/relationships/hyperlink" Id="rId12" Target="?id=Help/Show&amp;m=API/Help/MappingAndExternalIds" TargetMode="External" /><Relationship Type="http://schemas.openxmlformats.org/officeDocument/2006/relationships/hyperlink" Id="rId13" Target="?id=Help/Show&amp;m=API/Help/SyncPolicies" TargetMode="External" /><Relationship Type="http://schemas.openxmlformats.org/officeDocument/2006/relationships/hyperlink" Id="rId36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ИРБИС 64/128</dc:title>
  <dc:creator/>
  <cp:keywords/>
  <dcterms:created xsi:type="dcterms:W3CDTF">2026-10-15T11:24:05Z</dcterms:created>
  <dcterms:modified xsi:type="dcterms:W3CDTF">2026-10-15T11:24:05Z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