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режима выбытия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настройка-режима-выбытия"/>
    <w:p>
      <w:pPr>
        <w:pStyle w:val="Heading1"/>
      </w:pPr>
      <w:r>
        <w:t xml:space="preserve">Настройка режима выбытия</w:t>
      </w:r>
    </w:p>
    <w:p>
      <w:pPr>
        <w:pStyle w:val="FirstParagraph"/>
      </w:pPr>
      <w:r>
        <w:t xml:space="preserve">Определяет параметры поиска и пополнения для КСУ выбытия (списания).</w:t>
      </w:r>
    </w:p>
    <w:bookmarkStart w:id="9" w:name="Xa6f44d8de174d26d8babcc0cef73ddb2de682ed"/>
    <w:p>
      <w:pPr>
        <w:pStyle w:val="Heading2"/>
      </w:pPr>
      <w:r>
        <w:t xml:space="preserve">1. Префикс для поиска записей КСУ выбытия в БД CMPL (</w:t>
      </w:r>
      <w:r>
        <w:rPr>
          <w:rStyle w:val="VerbatimChar"/>
        </w:rPr>
        <w:t xml:space="preserve">PrefKs2Cmpl</w:t>
      </w:r>
      <w:r>
        <w:t xml:space="preserve">)</w:t>
      </w:r>
    </w:p>
    <w:p>
      <w:pPr>
        <w:pStyle w:val="FirstParagraph"/>
      </w:pPr>
      <w:r>
        <w:t xml:space="preserve">Префикс для отбора записей КСУ выбытия в базе комплектования.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применяется при пополнении итоговых КСУ на дату (</w:t>
      </w:r>
      <w:r>
        <w:rPr>
          <w:rStyle w:val="VerbatimChar"/>
        </w:rPr>
        <w:t xml:space="preserve">KSI</w:t>
      </w:r>
      <w:r>
        <w:t xml:space="preserve">) и за период (</w:t>
      </w:r>
      <w:r>
        <w:rPr>
          <w:rStyle w:val="VerbatimChar"/>
        </w:rPr>
        <w:t xml:space="preserve">KSFS</w:t>
      </w:r>
      <w:r>
        <w:t xml:space="preserve">) для подсчета данных о выбытии.</w:t>
      </w:r>
    </w:p>
    <w:p>
      <w:pPr>
        <w:pStyle w:val="Compact"/>
        <w:numPr>
          <w:ilvl w:val="1"/>
          <w:numId w:val="1002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построение связи для перехода от книги/акта к записям КСУ выбытия.</w:t>
      </w:r>
    </w:p>
    <w:bookmarkEnd w:id="9"/>
    <w:bookmarkStart w:id="10" w:name="Xea3c57e8ac68a9e0c588a0634ec077b3f783e73"/>
    <w:p>
      <w:pPr>
        <w:pStyle w:val="Heading2"/>
      </w:pPr>
      <w:r>
        <w:t xml:space="preserve">2. Префикс для поиска записей из ЭК соответствующих заданному КСУ выбытия (</w:t>
      </w:r>
      <w:r>
        <w:rPr>
          <w:rStyle w:val="VerbatimChar"/>
        </w:rPr>
        <w:t xml:space="preserve">PrefKsuS</w:t>
      </w:r>
      <w:r>
        <w:t xml:space="preserve">)</w:t>
      </w:r>
    </w:p>
    <w:p>
      <w:pPr>
        <w:pStyle w:val="FirstParagraph"/>
      </w:pPr>
      <w:r>
        <w:t xml:space="preserve">Префикс для поиска списанных экземпляров в базах электронного каталога.</w:t>
      </w:r>
    </w:p>
    <w:p>
      <w:pPr>
        <w:pStyle w:val="Compact"/>
        <w:numPr>
          <w:ilvl w:val="0"/>
          <w:numId w:val="1003"/>
        </w:numPr>
      </w:pPr>
      <w:r>
        <w:rPr>
          <w:b/>
          <w:bCs/>
        </w:rPr>
        <w:t xml:space="preserve">Влияет на: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поиск выбывших экземпляров (связанных с актом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) в электронном каталоге при пополнении акта списания.</w:t>
      </w:r>
    </w:p>
    <w:p>
      <w:pPr>
        <w:pStyle w:val="Compact"/>
        <w:numPr>
          <w:ilvl w:val="1"/>
          <w:numId w:val="1004"/>
        </w:numPr>
      </w:pPr>
      <w:r>
        <w:t xml:space="preserve">Экшен</w:t>
      </w:r>
      <w:r>
        <w:t xml:space="preserve"> </w:t>
      </w:r>
      <w:r>
        <w:rPr>
          <w:rStyle w:val="VerbatimChar"/>
        </w:rPr>
        <w:t xml:space="preserve">KsuToBook</w:t>
      </w:r>
      <w:r>
        <w:t xml:space="preserve"> </w:t>
      </w:r>
      <w:r>
        <w:t xml:space="preserve">— отображение связанных библиографических записей в электронном каталоге для акта списания.</w:t>
      </w:r>
    </w:p>
    <w:bookmarkEnd w:id="10"/>
    <w:bookmarkStart w:id="11" w:name="Xe6b0cf1a47a11836db75dade258bb814b444473"/>
    <w:p>
      <w:pPr>
        <w:pStyle w:val="Heading2"/>
      </w:pPr>
      <w:r>
        <w:t xml:space="preserve">3. Таблица при пополнении записи КСУ выбытия (</w:t>
      </w:r>
      <w:r>
        <w:rPr>
          <w:rStyle w:val="VerbatimChar"/>
        </w:rPr>
        <w:t xml:space="preserve">KsuFst2</w:t>
      </w:r>
      <w:r>
        <w:t xml:space="preserve">)</w:t>
      </w:r>
    </w:p>
    <w:p>
      <w:pPr>
        <w:pStyle w:val="FirstParagraph"/>
      </w:pPr>
      <w:r>
        <w:t xml:space="preserve">Имя FST-файла с алгоритмами пополнения записи акта выбытия.</w:t>
      </w:r>
    </w:p>
    <w:p>
      <w:pPr>
        <w:pStyle w:val="Compact"/>
        <w:numPr>
          <w:ilvl w:val="0"/>
          <w:numId w:val="1005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FillUpKsu</w:t>
      </w:r>
      <w:r>
        <w:t xml:space="preserve"> </w:t>
      </w:r>
      <w:r>
        <w:t xml:space="preserve">— расчет количественных и суммовых показателей для записей типа</w:t>
      </w:r>
      <w:r>
        <w:t xml:space="preserve"> </w:t>
      </w:r>
      <w:r>
        <w:rPr>
          <w:rStyle w:val="VerbatimChar"/>
        </w:rPr>
        <w:t xml:space="preserve">KS2</w:t>
      </w:r>
      <w:r>
        <w:t xml:space="preserve"> </w:t>
      </w:r>
      <w:r>
        <w:t xml:space="preserve">по формулам из FST-файла.</w:t>
      </w:r>
    </w:p>
    <w:bookmarkEnd w:id="11"/>
    <w:bookmarkStart w:id="12" w:name="X77bb45ddba75e1dffff337f0b06dfb4648c3f96"/>
    <w:p>
      <w:pPr>
        <w:pStyle w:val="Heading2"/>
      </w:pPr>
      <w:r>
        <w:t xml:space="preserve">4. Имя списка табличных форм в режиме выбытия для БД каталога (</w:t>
      </w:r>
      <w:r>
        <w:rPr>
          <w:rStyle w:val="VerbatimChar"/>
        </w:rPr>
        <w:t xml:space="preserve">TabMnuForSIBIS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электронным каталогом (по умолчанию</w:t>
      </w:r>
      <w:r>
        <w:t xml:space="preserve"> </w:t>
      </w:r>
      <w:r>
        <w:rPr>
          <w:rStyle w:val="VerbatimChar"/>
        </w:rPr>
        <w:t xml:space="preserve">tabpsw.mnu</w:t>
      </w:r>
      <w:r>
        <w:t xml:space="preserve">).</w:t>
      </w:r>
    </w:p>
    <w:p>
      <w:pPr>
        <w:pStyle w:val="Compact"/>
        <w:numPr>
          <w:ilvl w:val="0"/>
          <w:numId w:val="1006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каталога.</w:t>
      </w:r>
    </w:p>
    <w:bookmarkEnd w:id="12"/>
    <w:bookmarkStart w:id="13" w:name="Xa0e8bae4452d5750e46e96ab88a617dd43a8bea"/>
    <w:p>
      <w:pPr>
        <w:pStyle w:val="Heading2"/>
      </w:pPr>
      <w:r>
        <w:t xml:space="preserve">5. Имя списка табличных форм в режиме выбытия для БД CMPL (</w:t>
      </w:r>
      <w:r>
        <w:rPr>
          <w:rStyle w:val="VerbatimChar"/>
        </w:rPr>
        <w:t xml:space="preserve">TabMnuForSCMPL</w:t>
      </w:r>
      <w:r>
        <w:t xml:space="preserve">)</w:t>
      </w:r>
    </w:p>
    <w:p>
      <w:pPr>
        <w:pStyle w:val="FirstParagraph"/>
      </w:pPr>
      <w:r>
        <w:t xml:space="preserve">Имя MNU-справочника печатных форм выбытия при работе с базой комплектования (по умолчанию</w:t>
      </w:r>
      <w:r>
        <w:t xml:space="preserve"> </w:t>
      </w:r>
      <w:r>
        <w:rPr>
          <w:rStyle w:val="VerbatimChar"/>
        </w:rPr>
        <w:t xml:space="preserve">tabpcw.mnu</w:t>
      </w:r>
      <w:r>
        <w:t xml:space="preserve">).</w:t>
      </w:r>
    </w:p>
    <w:p>
      <w:pPr>
        <w:pStyle w:val="Compact"/>
        <w:numPr>
          <w:ilvl w:val="0"/>
          <w:numId w:val="1007"/>
        </w:numPr>
      </w:pPr>
      <w:r>
        <w:rPr>
          <w:b/>
          <w:bCs/>
        </w:rPr>
        <w:t xml:space="preserve">Влияет на:</w:t>
      </w:r>
      <w:r>
        <w:t xml:space="preserve"> </w:t>
      </w:r>
      <w:r>
        <w:t xml:space="preserve">Экшен</w:t>
      </w:r>
      <w:r>
        <w:t xml:space="preserve"> </w:t>
      </w:r>
      <w:r>
        <w:rPr>
          <w:rStyle w:val="VerbatimChar"/>
        </w:rPr>
        <w:t xml:space="preserve">GetPrintWindow</w:t>
      </w:r>
      <w:r>
        <w:t xml:space="preserve"> </w:t>
      </w:r>
      <w:r>
        <w:t xml:space="preserve">— вывод ветки форм</w:t>
      </w:r>
      <w:r>
        <w:t xml:space="preserve"> </w:t>
      </w:r>
      <w:r>
        <w:t xml:space="preserve">“Выбытие”</w:t>
      </w:r>
      <w:r>
        <w:t xml:space="preserve"> </w:t>
      </w:r>
      <w:r>
        <w:t xml:space="preserve">при выбранной базе CMPL.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режима выбытия</dc:title>
  <dc:creator/>
  <cp:keywords/>
  <dcterms:created xsi:type="dcterms:W3CDTF">2026-10-16T10:18:45Z</dcterms:created>
  <dcterms:modified xsi:type="dcterms:W3CDTF">2026-10-16T10:18:45Z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