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i128f"/>
    <w:p>
      <w:pPr>
        <w:pStyle w:val="Heading1"/>
      </w:pPr>
      <w:r>
        <w:t xml:space="preserve">Назначение модуля i128f</w:t>
      </w:r>
    </w:p>
    <w:p>
      <w:pPr>
        <w:pStyle w:val="FirstParagraph"/>
      </w:pPr>
      <w:r>
        <w:rPr>
          <w:rStyle w:val="VerbatimChar"/>
        </w:rPr>
        <w:t xml:space="preserve">i128f</w:t>
      </w:r>
      <w:r>
        <w:t xml:space="preserve"> </w:t>
      </w:r>
      <w:r>
        <w:t xml:space="preserve">связывает модули ИРБИС 128 с базами и серверной инфраструктурой ИРБИС64. Через него большинство прикладных модулей получают доступ к объектам баз данных, системным INI-файлам, форматированию записей, поиску и массовой обработке.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получить общий экземпляр модуля через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подключить корневой провайдер ИРБИС64 при старте системы;</w:t>
      </w:r>
    </w:p>
    <w:p>
      <w:pPr>
        <w:pStyle w:val="Compact"/>
        <w:numPr>
          <w:ilvl w:val="0"/>
          <w:numId w:val="1001"/>
        </w:numPr>
      </w:pPr>
      <w:r>
        <w:t xml:space="preserve">открыть базу данных по мнемоническому имени через</w:t>
      </w:r>
      <w:r>
        <w:t xml:space="preserve"> </w:t>
      </w:r>
      <w:r>
        <w:rPr>
          <w:rStyle w:val="VerbatimChar"/>
        </w:rPr>
        <w:t xml:space="preserve">GetDb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OpenDbByMnemonicName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прочитать и объединить настройки ARM, базы 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получить файл из базы или кэша</w:t>
      </w:r>
      <w:r>
        <w:t xml:space="preserve"> </w:t>
      </w:r>
      <w:r>
        <w:rPr>
          <w:rStyle w:val="VerbatimChar"/>
        </w:rPr>
        <w:t xml:space="preserve">DATAIS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найти первую запись или набор записей по поисковому выражению;</w:t>
      </w:r>
    </w:p>
    <w:p>
      <w:pPr>
        <w:pStyle w:val="Compact"/>
        <w:numPr>
          <w:ilvl w:val="0"/>
          <w:numId w:val="1001"/>
        </w:numPr>
      </w:pPr>
      <w:r>
        <w:t xml:space="preserve">выполнить функцию для каждой записи результата поиска через</w:t>
      </w:r>
      <w:r>
        <w:t xml:space="preserve"> </w:t>
      </w:r>
      <w:r>
        <w:rPr>
          <w:rStyle w:val="VerbatimChar"/>
        </w:rPr>
        <w:t xml:space="preserve">ForEachRecord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выполнить обработку связанных записей через</w:t>
      </w:r>
      <w:r>
        <w:t xml:space="preserve"> </w:t>
      </w:r>
      <w:r>
        <w:rPr>
          <w:rStyle w:val="VerbatimChar"/>
        </w:rPr>
        <w:t xml:space="preserve">ForEachLinked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отформатировать записи через форматы ИРБИС 128;</w:t>
      </w:r>
    </w:p>
    <w:p>
      <w:pPr>
        <w:pStyle w:val="Compact"/>
        <w:numPr>
          <w:ilvl w:val="0"/>
          <w:numId w:val="1001"/>
        </w:numPr>
      </w:pPr>
      <w:r>
        <w:t xml:space="preserve">создать или удалить записи и базы служебными методами;</w:t>
      </w:r>
    </w:p>
    <w:p>
      <w:pPr>
        <w:pStyle w:val="Compact"/>
        <w:numPr>
          <w:ilvl w:val="0"/>
          <w:numId w:val="1001"/>
        </w:numPr>
      </w:pPr>
      <w:r>
        <w:t xml:space="preserve">преобразовать коды ошибок ИРБИС в пользовательский русский текст.</w:t>
      </w:r>
    </w:p>
    <w:bookmarkEnd w:id="9"/>
    <w:bookmarkStart w:id="10" w:name="важные-зависимости"/>
    <w:p>
      <w:pPr>
        <w:pStyle w:val="Heading2"/>
      </w:pPr>
      <w:r>
        <w:t xml:space="preserve">2. Важные зависимости</w:t>
      </w:r>
    </w:p>
    <w:p>
      <w:pPr>
        <w:pStyle w:val="FirstParagraph"/>
      </w:pPr>
      <w:r>
        <w:t xml:space="preserve">Модуль использует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,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один из провайдеров доступа к ИРБИС64.</w:t>
      </w:r>
    </w:p>
    <w:p>
      <w:pPr>
        <w:pStyle w:val="BodyText"/>
      </w:pPr>
      <w:r>
        <w:t xml:space="preserve">Открытая база кэшируется внутри модуля. Если база первый раз открыта в режиме только чтения через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дальнейшие обращения к этой базе используют уже созданный объект.</w:t>
      </w:r>
    </w:p>
    <w:bookmarkEnd w:id="10"/>
    <w:bookmarkStart w:id="11" w:name="служебные-функции-__call"/>
    <w:p>
      <w:pPr>
        <w:pStyle w:val="Heading2"/>
      </w:pPr>
      <w:r>
        <w:t xml:space="preserve">3. Служебные функции</w:t>
      </w:r>
      <w:r>
        <w:t xml:space="preserve"> </w:t>
      </w:r>
      <w:r>
        <w:rPr>
          <w:rStyle w:val="VerbatimChar"/>
        </w:rPr>
        <w:t xml:space="preserve">__call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SimpleForm</w:t>
      </w:r>
      <w:r>
        <w:t xml:space="preserve"> </w:t>
      </w:r>
      <w:r>
        <w:t xml:space="preserve">возвращает клиентский код старой ExtJS-формы;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SaveTaskExec</w:t>
      </w:r>
      <w:r>
        <w:t xml:space="preserve"> </w:t>
      </w:r>
      <w:r>
        <w:t xml:space="preserve">выполняет пакет сохранения записей из объекта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Utf8ToRtf</w:t>
      </w:r>
      <w:r>
        <w:t xml:space="preserve"> </w:t>
      </w:r>
      <w:r>
        <w:t xml:space="preserve">преобразует Unicode-символы в RTF-последовательности;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FER_Preload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FER_Download</w:t>
      </w:r>
      <w:r>
        <w:t xml:space="preserve"> </w:t>
      </w:r>
      <w:r>
        <w:t xml:space="preserve">предварительно загружают большие результаты поиска по порциям во временные SID-файлы.</w:t>
      </w:r>
    </w:p>
    <w:p>
      <w:pPr>
        <w:pStyle w:val="FirstParagraph"/>
      </w:pPr>
      <w:r>
        <w:t xml:space="preserve">Эти функции поддерживают старые интерфейсы и массовые операции. Их нужно вызывать только в контексте соответствующих сценариев, потому что они работают с HTTP-параметрами, SID-файлами и текущими настройками доступа к базам.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i128f</dc:title>
  <dc:creator/>
  <cp:keywords/>
  <dcterms:created xsi:type="dcterms:W3CDTF">2026-08-31T19:08:21Z</dcterms:created>
  <dcterms:modified xsi:type="dcterms:W3CDTF">2026-08-31T19:08:21Z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