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модуля he2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назначение-модуля-he2"/>
    <w:p>
      <w:pPr>
        <w:pStyle w:val="Heading1"/>
      </w:pPr>
      <w:r>
        <w:t xml:space="preserve">Назначение модуля he2</w:t>
      </w:r>
    </w:p>
    <w:p>
      <w:pPr>
        <w:pStyle w:val="FirstParagraph"/>
      </w:pPr>
      <w:r>
        <w:rPr>
          <w:rStyle w:val="VerbatimChar"/>
        </w:rPr>
        <w:t xml:space="preserve">he2</w:t>
      </w:r>
      <w:r>
        <w:t xml:space="preserve"> </w:t>
      </w:r>
      <w:r>
        <w:t xml:space="preserve">отвечает за старый универсальный редактор записей. Модуль получает запись по</w:t>
      </w:r>
      <w:r>
        <w:t xml:space="preserve"> </w:t>
      </w:r>
      <w:r>
        <w:rPr>
          <w:rStyle w:val="VerbatimChar"/>
        </w:rPr>
        <w:t xml:space="preserve">sid</w:t>
      </w:r>
      <w:r>
        <w:t xml:space="preserve">,</w:t>
      </w:r>
      <w:r>
        <w:t xml:space="preserve"> </w:t>
      </w:r>
      <w:r>
        <w:rPr>
          <w:rStyle w:val="VerbatimChar"/>
        </w:rPr>
        <w:t xml:space="preserve">mfn</w:t>
      </w:r>
      <w:r>
        <w:t xml:space="preserve">, контексту сессии или создает новую запись указанного типа, затем строит форму из описаний полей и сохраняет результат обратно в запись.</w:t>
      </w:r>
    </w:p>
    <w:bookmarkStart w:id="9" w:name="основные-сценарии"/>
    <w:p>
      <w:pPr>
        <w:pStyle w:val="Heading2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открыть HTML-форму редактирования через страницу</w:t>
      </w:r>
      <w:r>
        <w:t xml:space="preserve"> </w:t>
      </w:r>
      <w:r>
        <w:rPr>
          <w:rStyle w:val="VerbatimChar"/>
        </w:rPr>
        <w:t xml:space="preserve">he2/Show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открыть ExtJS-окно редактора через actions</w:t>
      </w:r>
      <w:r>
        <w:t xml:space="preserve"> </w:t>
      </w:r>
      <w:r>
        <w:rPr>
          <w:rStyle w:val="VerbatimChar"/>
        </w:rPr>
        <w:t xml:space="preserve">GetEditor</w:t>
      </w:r>
      <w:r>
        <w:t xml:space="preserve">,</w:t>
      </w:r>
      <w:r>
        <w:t xml:space="preserve"> </w:t>
      </w:r>
      <w:r>
        <w:rPr>
          <w:rStyle w:val="VerbatimChar"/>
        </w:rPr>
        <w:t xml:space="preserve">GetSidEditor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GetSidEditorNew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построить JSON-описание элементов формы для клиентского редактора;</w:t>
      </w:r>
    </w:p>
    <w:p>
      <w:pPr>
        <w:pStyle w:val="Compact"/>
        <w:numPr>
          <w:ilvl w:val="0"/>
          <w:numId w:val="1001"/>
        </w:numPr>
      </w:pPr>
      <w:r>
        <w:t xml:space="preserve">загрузить и сохранить рабочую копию записи через</w:t>
      </w:r>
      <w:r>
        <w:t xml:space="preserve"> </w:t>
      </w:r>
      <w:r>
        <w:rPr>
          <w:rStyle w:val="VerbatimChar"/>
        </w:rPr>
        <w:t xml:space="preserve">EditorLoader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редактировать поля, повторения и подполя по рабочему листу;</w:t>
      </w:r>
    </w:p>
    <w:p>
      <w:pPr>
        <w:pStyle w:val="Compact"/>
        <w:numPr>
          <w:ilvl w:val="0"/>
          <w:numId w:val="1001"/>
        </w:numPr>
      </w:pPr>
      <w:r>
        <w:t xml:space="preserve">создать связанную запись и добавить связь с родительским объектом;</w:t>
      </w:r>
    </w:p>
    <w:p>
      <w:pPr>
        <w:pStyle w:val="Compact"/>
        <w:numPr>
          <w:ilvl w:val="0"/>
          <w:numId w:val="1001"/>
        </w:numPr>
      </w:pPr>
      <w:r>
        <w:t xml:space="preserve">выбрать значения из</w:t>
      </w:r>
      <w:r>
        <w:t xml:space="preserve"> </w:t>
      </w:r>
      <w:r>
        <w:rPr>
          <w:rStyle w:val="VerbatimChar"/>
        </w:rPr>
        <w:t xml:space="preserve">mnu</w:t>
      </w:r>
      <w:r>
        <w:t xml:space="preserve">,</w:t>
      </w:r>
      <w:r>
        <w:t xml:space="preserve"> </w:t>
      </w:r>
      <w:r>
        <w:rPr>
          <w:rStyle w:val="VerbatimChar"/>
        </w:rPr>
        <w:t xml:space="preserve">tre</w:t>
      </w:r>
      <w:r>
        <w:t xml:space="preserve">, словарей базы и списков записей;</w:t>
      </w:r>
    </w:p>
    <w:p>
      <w:pPr>
        <w:pStyle w:val="Compact"/>
        <w:numPr>
          <w:ilvl w:val="0"/>
          <w:numId w:val="1001"/>
        </w:numPr>
      </w:pPr>
      <w:r>
        <w:t xml:space="preserve">сохранить текстовые, файловые и SID-файловые значения;</w:t>
      </w:r>
    </w:p>
    <w:p>
      <w:pPr>
        <w:pStyle w:val="Compact"/>
        <w:numPr>
          <w:ilvl w:val="0"/>
          <w:numId w:val="1001"/>
        </w:numPr>
      </w:pPr>
      <w:r>
        <w:t xml:space="preserve">выполнить формально-логический контроль перед сохранением.</w:t>
      </w:r>
    </w:p>
    <w:bookmarkEnd w:id="9"/>
    <w:bookmarkStart w:id="10" w:name="источники-конфигурации"/>
    <w:p>
      <w:pPr>
        <w:pStyle w:val="Heading2"/>
      </w:pPr>
      <w:r>
        <w:t xml:space="preserve">2. Источники конфигурации</w:t>
      </w:r>
    </w:p>
    <w:p>
      <w:pPr>
        <w:pStyle w:val="FirstParagraph"/>
      </w:pPr>
      <w:r>
        <w:t xml:space="preserve">Форма строится из настроек управляющего модуля. Если запись обслуживает модуль, наследуемый от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вызывает его</w:t>
      </w:r>
      <w:r>
        <w:t xml:space="preserve"> </w:t>
      </w:r>
      <w:r>
        <w:rPr>
          <w:rStyle w:val="VerbatimChar"/>
        </w:rPr>
        <w:t xml:space="preserve">InitVariables()</w:t>
      </w:r>
      <w:r>
        <w:t xml:space="preserve">,</w:t>
      </w:r>
      <w:r>
        <w:t xml:space="preserve"> </w:t>
      </w:r>
      <w:r>
        <w:rPr>
          <w:rStyle w:val="VerbatimChar"/>
        </w:rPr>
        <w:t xml:space="preserve">Variables()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ConfigureEditor()</w:t>
      </w:r>
      <w:r>
        <w:t xml:space="preserve"> </w:t>
      </w:r>
      <w:r>
        <w:t xml:space="preserve">и получает набор элементов формы.</w:t>
      </w:r>
    </w:p>
    <w:p>
      <w:pPr>
        <w:pStyle w:val="BodyText"/>
      </w:pPr>
      <w:r>
        <w:t xml:space="preserve">Дополнительные настройки полей может задавать модуль</w:t>
      </w:r>
      <w:r>
        <w:t xml:space="preserve"> </w:t>
      </w:r>
      <w:r>
        <w:rPr>
          <w:rStyle w:val="VerbatimChar"/>
        </w:rPr>
        <w:t xml:space="preserve">FieldConfiguration</w:t>
      </w:r>
      <w:r>
        <w:t xml:space="preserve">. Они сохраняются в:</w:t>
      </w:r>
    </w:p>
    <w:p>
      <w:pPr>
        <w:pStyle w:val="SourceCode"/>
      </w:pPr>
      <w:r>
        <w:rPr>
          <w:rStyle w:val="VerbatimChar"/>
        </w:rPr>
        <w:t xml:space="preserve">DataPath/FieldConfigurations/&lt;domain&gt;/&lt;type&gt;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ReadFConfig</w:t>
      </w:r>
      <w:r>
        <w:t xml:space="preserve"> </w:t>
      </w:r>
      <w:r>
        <w:t xml:space="preserve">читает этот файл и применяет сохраненные параметры к элементам, добавляемым через</w:t>
      </w:r>
      <w:r>
        <w:t xml:space="preserve"> </w:t>
      </w:r>
      <w:r>
        <w:rPr>
          <w:rStyle w:val="VerbatimChar"/>
        </w:rPr>
        <w:t xml:space="preserve">AppendField</w:t>
      </w:r>
      <w:r>
        <w:t xml:space="preserve">.</w:t>
      </w:r>
    </w:p>
    <w:bookmarkEnd w:id="10"/>
    <w:bookmarkStart w:id="11" w:name="рабочая-запись"/>
    <w:p>
      <w:pPr>
        <w:pStyle w:val="Heading2"/>
      </w:pPr>
      <w:r>
        <w:t xml:space="preserve">3. Рабочая запись</w:t>
      </w:r>
    </w:p>
    <w:p>
      <w:pPr>
        <w:pStyle w:val="FirstParagraph"/>
      </w:pPr>
      <w:r>
        <w:t xml:space="preserve">Перед редактированием модуль сохраняет исходное содержимое записи во временные данные: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EditorData-content</w:t>
      </w:r>
      <w:r>
        <w:t xml:space="preserve"> </w:t>
      </w:r>
      <w:r>
        <w:t xml:space="preserve">- исходные поля записи;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EditorData-mfn</w:t>
      </w:r>
      <w:r>
        <w:t xml:space="preserve"> </w:t>
      </w:r>
      <w:r>
        <w:t xml:space="preserve">- исходный MFN;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EditorData-InlineCat</w:t>
      </w:r>
      <w:r>
        <w:t xml:space="preserve"> </w:t>
      </w:r>
      <w:r>
        <w:t xml:space="preserve">- данные встроенного каталога.</w:t>
      </w:r>
    </w:p>
    <w:p>
      <w:pPr>
        <w:pStyle w:val="FirstParagraph"/>
      </w:pPr>
      <w:r>
        <w:t xml:space="preserve">Ajax-загрузчик</w:t>
      </w:r>
      <w:r>
        <w:t xml:space="preserve"> </w:t>
      </w:r>
      <w:r>
        <w:rPr>
          <w:rStyle w:val="VerbatimChar"/>
        </w:rPr>
        <w:t xml:space="preserve">EditorLoader</w:t>
      </w:r>
      <w:r>
        <w:t xml:space="preserve"> </w:t>
      </w:r>
      <w:r>
        <w:t xml:space="preserve">работает с этой копией: обновляет поля, повторения, подполя, применяет встроенные записи и только затем сохраняет результат.</w:t>
      </w:r>
    </w:p>
    <w:bookmarkEnd w:id="11"/>
    <w:bookmarkStart w:id="12" w:name="ограничения"/>
    <w:p>
      <w:pPr>
        <w:pStyle w:val="Heading2"/>
      </w:pPr>
      <w:r>
        <w:t xml:space="preserve">4. Ограничения</w:t>
      </w:r>
    </w:p>
    <w:p>
      <w:pPr>
        <w:pStyle w:val="Compact"/>
        <w:numPr>
          <w:ilvl w:val="0"/>
          <w:numId w:val="1003"/>
        </w:numPr>
      </w:pPr>
      <w:r>
        <w:t xml:space="preserve">модуль зависит от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,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,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,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 </w:t>
      </w:r>
      <w:r>
        <w:t xml:space="preserve">и управляющих модулей записей;</w:t>
      </w:r>
    </w:p>
    <w:p>
      <w:pPr>
        <w:pStyle w:val="Compact"/>
        <w:numPr>
          <w:ilvl w:val="0"/>
          <w:numId w:val="1003"/>
        </w:numPr>
      </w:pPr>
      <w:r>
        <w:t xml:space="preserve">корректность формы зависит от заполненного типа записи в поле</w:t>
      </w:r>
      <w:r>
        <w:t xml:space="preserve"> </w:t>
      </w:r>
      <w:r>
        <w:rPr>
          <w:rStyle w:val="VerbatimChar"/>
        </w:rPr>
        <w:t xml:space="preserve">920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новые связанные объекты требуют родительский</w:t>
      </w:r>
      <w:r>
        <w:t xml:space="preserve"> </w:t>
      </w:r>
      <w:r>
        <w:rPr>
          <w:rStyle w:val="VerbatimChar"/>
        </w:rPr>
        <w:t xml:space="preserve">osid</w:t>
      </w:r>
      <w:r>
        <w:t xml:space="preserve">, тип связи и права на создание объекта;</w:t>
      </w:r>
    </w:p>
    <w:p>
      <w:pPr>
        <w:pStyle w:val="Compact"/>
        <w:numPr>
          <w:ilvl w:val="0"/>
          <w:numId w:val="1003"/>
        </w:numPr>
      </w:pPr>
      <w:r>
        <w:t xml:space="preserve">действия загрузки файлов работают с SID-файлами записи и требуют корректного контекста записи;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EditorLoaderCat_*</w:t>
      </w:r>
      <w:r>
        <w:t xml:space="preserve"> </w:t>
      </w:r>
      <w:r>
        <w:t xml:space="preserve">- служебные операции Ajax-загрузчика, их не следует вызывать как самостоятельный пользовательский интерфейс.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модуля he2</dc:title>
  <dc:creator/>
  <cp:keywords/>
  <dcterms:created xsi:type="dcterms:W3CDTF">2026-08-31T11:55:43Z</dcterms:created>
  <dcterms:modified xsi:type="dcterms:W3CDTF">2026-08-31T11:55:43Z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