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Специфика заполнения отдельных полей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специфика-заполнения-отдельных-полей"/>
    <w:p>
      <w:pPr>
        <w:pStyle w:val="Heading1"/>
      </w:pPr>
      <w:r>
        <w:t xml:space="preserve">Специфика заполнения отдельных полей</w:t>
      </w:r>
    </w:p>
    <w:p>
      <w:pPr>
        <w:pStyle w:val="FirstParagraph"/>
      </w:pPr>
      <w:r>
        <w:t xml:space="preserve">Этот раздел собирает рекомендации по полям, для которых недостаточно общих правил заполнения рабочего листа. Поля, не описанные здесь отдельно, заполняются по</w:t>
      </w:r>
      <w:r>
        <w:t xml:space="preserve"> </w:t>
      </w:r>
      <w:hyperlink r:id="rId9">
        <w:r>
          <w:rPr>
            <w:rStyle w:val="Hyperlink"/>
          </w:rPr>
          <w:t xml:space="preserve">общим правилам</w:t>
        </w:r>
      </w:hyperlink>
      <w:r>
        <w:t xml:space="preserve"> </w:t>
      </w:r>
      <w:r>
        <w:t xml:space="preserve">с использованием доступных меню, словарей, авторитетных баз и вложенных рабочих листов.</w:t>
      </w:r>
    </w:p>
    <w:p>
      <w:pPr>
        <w:pStyle w:val="BodyText"/>
      </w:pPr>
      <w:r>
        <w:t xml:space="preserve">Для полей со сложной структурой в исходной методике указывается состав подполей и справочники, которые используются при вводе. При переносе в Help такие сведения нужно сверять с текущими рабочими листами и поставкой базы данных.</w:t>
      </w:r>
    </w:p>
    <w:bookmarkStart w:id="10" w:name="справочники-и-коды"/>
    <w:p>
      <w:pPr>
        <w:pStyle w:val="Heading2"/>
      </w:pPr>
      <w:r>
        <w:t xml:space="preserve">1. Справочники и коды</w:t>
      </w:r>
    </w:p>
    <w:p>
      <w:pPr>
        <w:pStyle w:val="FirstParagraph"/>
      </w:pPr>
      <w:r>
        <w:t xml:space="preserve">Справочники могут корректироваться организацией. При расширении справочников нужно учитывать различие кодов:</w:t>
      </w:r>
    </w:p>
    <w:p>
      <w:pPr>
        <w:pStyle w:val="Compact"/>
        <w:numPr>
          <w:ilvl w:val="0"/>
          <w:numId w:val="1001"/>
        </w:numPr>
      </w:pPr>
      <w:r>
        <w:t xml:space="preserve">буквенные коды обычно соответствуют коммуникативным форматам UNIMARC, USMARC или RUSMARC;</w:t>
      </w:r>
    </w:p>
    <w:p>
      <w:pPr>
        <w:pStyle w:val="Compact"/>
        <w:numPr>
          <w:ilvl w:val="0"/>
          <w:numId w:val="1001"/>
        </w:numPr>
      </w:pPr>
      <w:r>
        <w:t xml:space="preserve">цифровые коды являются дополнительными кодами ИРБИС и при экспорте в MARC-форматы могут интерпретироваться как</w:t>
      </w:r>
      <w:r>
        <w:t xml:space="preserve"> </w:t>
      </w:r>
      <w:r>
        <w:t xml:space="preserve">“прочие”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буквенно-цифровые коды используются для детализации стандартного буквенного кода; при экспорте может использоваться только буквенная часть.</w:t>
      </w:r>
    </w:p>
    <w:p>
      <w:pPr>
        <w:pStyle w:val="FirstParagraph"/>
      </w:pPr>
      <w:r>
        <w:t xml:space="preserve">Технологические элементы данных, относящиеся только к регистрации поступления журналов, описываются в методике обработки журналов и не должны смешиваться с общими правилами заполнения библиографических полей.</w:t>
      </w:r>
    </w:p>
    <w:bookmarkEnd w:id="10"/>
    <w:bookmarkStart w:id="11" w:name="специфические-первые-страницы-рл"/>
    <w:p>
      <w:pPr>
        <w:pStyle w:val="Heading2"/>
      </w:pPr>
      <w:r>
        <w:t xml:space="preserve">2. Специфические первые страницы РЛ</w:t>
      </w:r>
    </w:p>
    <w:p>
      <w:pPr>
        <w:pStyle w:val="FirstParagraph"/>
      </w:pPr>
      <w:r>
        <w:t xml:space="preserve">Специфические первые страницы рабочих листов содержат элементы данных, которые зависят от вида описания и участвуют в сверке на дублетность.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 РЛ</w:t>
            </w:r>
          </w:p>
        </w:tc>
        <w:tc>
          <w:tcPr/>
          <w:p>
            <w:pPr>
              <w:pStyle w:val="Compact"/>
            </w:pPr>
            <w:r>
              <w:t xml:space="preserve">Специфическая страница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PAZK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PVK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Дублетность</w:t>
            </w:r>
          </w:p>
        </w:tc>
        <w:tc>
          <w:tcPr/>
          <w:p>
            <w:pPr>
              <w:pStyle w:val="Compact"/>
            </w:pPr>
            <w:r>
              <w:t xml:space="preserve">Заголовок библиографического описания и другие данные сверки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SPEC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МН - общ.</w:t>
            </w:r>
          </w:p>
        </w:tc>
        <w:tc>
          <w:tcPr/>
          <w:p>
            <w:pPr>
              <w:pStyle w:val="Compact"/>
            </w:pPr>
            <w:r>
              <w:t xml:space="preserve">Данные общей части многотомного издания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ASP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Дублетность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Рецензия/Реферат</w:t>
            </w:r>
          </w:p>
        </w:tc>
        <w:tc>
          <w:tcPr/>
          <w:p>
            <w:pPr>
              <w:pStyle w:val="Compact"/>
            </w:pPr>
            <w:r>
              <w:t xml:space="preserve">Сведения об источнике, данные сверки на дублетность и данные рецензии или реферата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AUNTD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Дублетность</w:t>
            </w:r>
          </w:p>
        </w:tc>
        <w:tc>
          <w:tcPr/>
          <w:p>
            <w:pPr>
              <w:pStyle w:val="Compact"/>
            </w:pPr>
            <w:r>
              <w:t xml:space="preserve">Сведения об источнике и данные сверки на дублетность для юридических и нормативно-технических документов</w:t>
            </w:r>
          </w:p>
        </w:tc>
      </w:tr>
    </w:tbl>
    <w:p>
      <w:pPr>
        <w:pStyle w:val="BodyText"/>
      </w:pPr>
      <w:r>
        <w:t xml:space="preserve">На первой странице также находится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- код рабочего листа. Код определяет вид описания и используется системой для выбора формата просмотра и рабочего листа при корректировке записи.</w:t>
      </w:r>
    </w:p>
    <w:p>
      <w:pPr>
        <w:pStyle w:val="BodyText"/>
      </w:pPr>
      <w:r>
        <w:t xml:space="preserve">Если рабочий лист выбран ошибочно, нужно:</w:t>
      </w:r>
    </w:p>
    <w:p>
      <w:pPr>
        <w:pStyle w:val="Compact"/>
        <w:numPr>
          <w:ilvl w:val="0"/>
          <w:numId w:val="1002"/>
        </w:numPr>
      </w:pPr>
      <w:r>
        <w:t xml:space="preserve">Выбрать правильный РЛ в списке рабочих листов.</w:t>
      </w:r>
    </w:p>
    <w:p>
      <w:pPr>
        <w:pStyle w:val="Compact"/>
        <w:numPr>
          <w:ilvl w:val="0"/>
          <w:numId w:val="1002"/>
        </w:numPr>
      </w:pPr>
      <w:r>
        <w:t xml:space="preserve">Откорректировать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на первой странице.</w:t>
      </w:r>
    </w:p>
    <w:p>
      <w:pPr>
        <w:pStyle w:val="Compact"/>
        <w:numPr>
          <w:ilvl w:val="0"/>
          <w:numId w:val="1002"/>
        </w:numPr>
      </w:pPr>
      <w:r>
        <w:t xml:space="preserve">Удалить данные, которые были введены ранее и не соответствуют новому РЛ.</w:t>
      </w:r>
    </w:p>
    <w:bookmarkEnd w:id="11"/>
    <w:bookmarkStart w:id="12" w:name="рл-pazk-страница-дублетность"/>
    <w:p>
      <w:pPr>
        <w:pStyle w:val="Heading2"/>
      </w:pPr>
      <w:r>
        <w:t xml:space="preserve">3. РЛ PAZK: страница</w:t>
      </w:r>
      <w:r>
        <w:t xml:space="preserve"> </w:t>
      </w:r>
      <w:r>
        <w:rPr>
          <w:rStyle w:val="VerbatimChar"/>
        </w:rPr>
        <w:t xml:space="preserve">Дублетность</w:t>
      </w:r>
    </w:p>
    <w:p>
      <w:pPr>
        <w:pStyle w:val="FirstParagraph"/>
      </w:pPr>
      <w:r>
        <w:t xml:space="preserve">РЛ</w:t>
      </w:r>
      <w:r>
        <w:t xml:space="preserve"> </w:t>
      </w:r>
      <w:r>
        <w:rPr>
          <w:rStyle w:val="VerbatimChar"/>
        </w:rPr>
        <w:t xml:space="preserve">PAZK</w:t>
      </w:r>
      <w:r>
        <w:t xml:space="preserve"> </w:t>
      </w:r>
      <w:r>
        <w:t xml:space="preserve">используется для описания под автором, под коллективом или под заглавием. На странице</w:t>
      </w:r>
      <w:r>
        <w:t xml:space="preserve"> </w:t>
      </w:r>
      <w:r>
        <w:rPr>
          <w:rStyle w:val="VerbatimChar"/>
        </w:rPr>
        <w:t xml:space="preserve">Дублетность</w:t>
      </w:r>
      <w:r>
        <w:t xml:space="preserve"> </w:t>
      </w:r>
      <w:r>
        <w:t xml:space="preserve">располагаются поля, которые участвуют в сверке на дублетность, и поля, специфичные для этого вида описания.</w:t>
      </w:r>
    </w:p>
    <w:p>
      <w:pPr>
        <w:pStyle w:val="BodyText"/>
      </w:pPr>
      <w:r>
        <w:t xml:space="preserve">Сверка выполняется по совокупности кратких данных:</w:t>
      </w:r>
    </w:p>
    <w:p>
      <w:pPr>
        <w:pStyle w:val="Compact"/>
        <w:numPr>
          <w:ilvl w:val="0"/>
          <w:numId w:val="1003"/>
        </w:numPr>
      </w:pPr>
      <w:r>
        <w:t xml:space="preserve">две последние цифры года издания;</w:t>
      </w:r>
    </w:p>
    <w:p>
      <w:pPr>
        <w:pStyle w:val="Compact"/>
        <w:numPr>
          <w:ilvl w:val="0"/>
          <w:numId w:val="1003"/>
        </w:numPr>
      </w:pPr>
      <w:r>
        <w:t xml:space="preserve">первые символы фамилии автора-заголовка описания;</w:t>
      </w:r>
    </w:p>
    <w:p>
      <w:pPr>
        <w:pStyle w:val="Compact"/>
        <w:numPr>
          <w:ilvl w:val="0"/>
          <w:numId w:val="1003"/>
        </w:numPr>
      </w:pPr>
      <w:r>
        <w:t xml:space="preserve">автоматическая свёртка заглавия;</w:t>
      </w:r>
    </w:p>
    <w:p>
      <w:pPr>
        <w:pStyle w:val="Compact"/>
        <w:numPr>
          <w:ilvl w:val="0"/>
          <w:numId w:val="1003"/>
        </w:numPr>
      </w:pPr>
      <w:r>
        <w:t xml:space="preserve">номера выпусков и частей;</w:t>
      </w:r>
    </w:p>
    <w:p>
      <w:pPr>
        <w:pStyle w:val="Compact"/>
        <w:numPr>
          <w:ilvl w:val="0"/>
          <w:numId w:val="1003"/>
        </w:numPr>
      </w:pPr>
      <w:r>
        <w:t xml:space="preserve">объём документа.</w:t>
      </w:r>
    </w:p>
    <w:p>
      <w:pPr>
        <w:pStyle w:val="FirstParagraph"/>
      </w:pPr>
      <w:r>
        <w:t xml:space="preserve">Ключевые поля страницы: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Назначение и правило ввода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700</w:t>
            </w:r>
          </w:p>
        </w:tc>
        <w:tc>
          <w:tcPr/>
          <w:p>
            <w:pPr>
              <w:pStyle w:val="Compact"/>
            </w:pPr>
            <w:r>
              <w:t xml:space="preserve">Первый автор - заголовок описания. Заполняется, если авторов не больше трёх. Для первичной сверки достаточно ФИО и раскрытия инициалов; остальные данные можно уточнить на странице</w:t>
            </w:r>
            <w:r>
              <w:t xml:space="preserve"> </w:t>
            </w:r>
            <w:r>
              <w:rPr>
                <w:rStyle w:val="VerbatimChar"/>
              </w:rPr>
              <w:t xml:space="preserve">Основное БО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710</w:t>
            </w:r>
          </w:p>
        </w:tc>
        <w:tc>
          <w:tcPr/>
          <w:p>
            <w:pPr>
              <w:pStyle w:val="Compact"/>
            </w:pPr>
            <w:r>
              <w:t xml:space="preserve">Первый коллективный автор. При вводе через словарь или авторитетную базу данные заполняются полностью. При ручном вводе для сверки достаточно наименования; остальные данные можно ввести после проверки дублетности.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971</w:t>
            </w:r>
          </w:p>
        </w:tc>
        <w:tc>
          <w:tcPr/>
          <w:p>
            <w:pPr>
              <w:pStyle w:val="Compact"/>
            </w:pPr>
            <w:r>
              <w:t xml:space="preserve">Первый временный коллективный автор, если он входит в заголовок вместе с коллективом. Поле не участвует в сверке на дублетность, поэтому может уточняться после проверки.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200</w:t>
            </w:r>
          </w:p>
        </w:tc>
        <w:tc>
          <w:tcPr/>
          <w:p>
            <w:pPr>
              <w:pStyle w:val="Compact"/>
            </w:pPr>
            <w:r>
              <w:t xml:space="preserve">Заглавие. Для сверки достаточно наименования; остальные данные целесообразно вводить на странице</w:t>
            </w:r>
            <w:r>
              <w:t xml:space="preserve"> </w:t>
            </w:r>
            <w:r>
              <w:rPr>
                <w:rStyle w:val="VerbatimChar"/>
              </w:rPr>
              <w:t xml:space="preserve">Основное БО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923</w:t>
            </w:r>
          </w:p>
        </w:tc>
        <w:tc>
          <w:tcPr/>
          <w:p>
            <w:pPr>
              <w:pStyle w:val="Compact"/>
            </w:pPr>
            <w:r>
              <w:t xml:space="preserve">Выпуск, часть, номер-заглавие. Для сверки достаточно номера выпуска или части.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210</w:t>
            </w:r>
          </w:p>
        </w:tc>
        <w:tc>
          <w:tcPr/>
          <w:p>
            <w:pPr>
              <w:pStyle w:val="Compact"/>
            </w:pPr>
            <w:r>
              <w:t xml:space="preserve">Год издания. Для сверки достаточно года; остальные выходные данные вводятся на странице</w:t>
            </w:r>
            <w:r>
              <w:t xml:space="preserve"> </w:t>
            </w:r>
            <w:r>
              <w:rPr>
                <w:rStyle w:val="VerbatimChar"/>
              </w:rPr>
              <w:t xml:space="preserve">Основное БО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ISBN. Используется для уточнения сверки.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Идентификационный номер нетекстового материала. Для уточнения сверки данные должны быть введены полностью.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215</w:t>
            </w:r>
          </w:p>
        </w:tc>
        <w:tc>
          <w:tcPr/>
          <w:p>
            <w:pPr>
              <w:pStyle w:val="Compact"/>
            </w:pPr>
            <w:r>
              <w:t xml:space="preserve">Объём. Для сверки вводится объём документа; если единица измерения отличается от значения по умолчанию, её также нужно указать.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920</w:t>
            </w:r>
          </w:p>
        </w:tc>
        <w:tc>
          <w:tcPr/>
          <w:p>
            <w:pPr>
              <w:pStyle w:val="Compact"/>
            </w:pPr>
            <w:r>
              <w:t xml:space="preserve">Код рабочего листа. По умолчанию для этого РЛ установлен</w:t>
            </w:r>
            <w:r>
              <w:t xml:space="preserve"> </w:t>
            </w:r>
            <w:r>
              <w:rPr>
                <w:rStyle w:val="VerbatimChar"/>
              </w:rPr>
              <w:t xml:space="preserve">PAZK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900</w:t>
            </w:r>
          </w:p>
        </w:tc>
        <w:tc>
          <w:tcPr/>
          <w:p>
            <w:pPr>
              <w:pStyle w:val="Compact"/>
            </w:pPr>
            <w:r>
              <w:t xml:space="preserve">Вид документа. В исходной методике для</w:t>
            </w:r>
            <w:r>
              <w:t xml:space="preserve"> </w:t>
            </w:r>
            <w:r>
              <w:rPr>
                <w:rStyle w:val="VerbatimChar"/>
              </w:rPr>
              <w:t xml:space="preserve">PAZK</w:t>
            </w:r>
            <w:r>
              <w:t xml:space="preserve"> </w:t>
            </w:r>
            <w:r>
              <w:t xml:space="preserve">указан вид</w:t>
            </w:r>
            <w:r>
              <w:t xml:space="preserve"> </w:t>
            </w:r>
            <w:r>
              <w:rPr>
                <w:rStyle w:val="VerbatimChar"/>
              </w:rPr>
              <w:t xml:space="preserve">05</w:t>
            </w:r>
            <w:r>
              <w:t xml:space="preserve">; актуальность значения нужно сверять с текущими настройками.</w:t>
            </w:r>
          </w:p>
        </w:tc>
      </w:tr>
    </w:tbl>
    <w:p>
      <w:pPr>
        <w:pStyle w:val="BodyText"/>
      </w:pPr>
      <w:r>
        <w:t xml:space="preserve">Данные коллективного автора могут автоматически включаться в сведения об ответственности. Если коллектив не должен попадать в сведения об ответственности или должен формировать добавочную каталожную карточку, это задаётся соответствующей ролью в поле.</w:t>
      </w:r>
    </w:p>
    <w:p>
      <w:pPr>
        <w:pStyle w:val="BodyText"/>
      </w:pPr>
      <w:r>
        <w:t xml:space="preserve">Коллективные авторы включаются в словарь коллективов, а слова из наименования - в словарь ключевых слов. Если заглавие подразделения должно индексироваться самостоятельно, нужно установить признак характерного заглавия подразделения.</w:t>
      </w:r>
    </w:p>
    <w:bookmarkEnd w:id="12"/>
    <w:bookmarkStart w:id="13" w:name="рл-pvk-страница-дублетность"/>
    <w:p>
      <w:pPr>
        <w:pStyle w:val="Heading2"/>
      </w:pPr>
      <w:r>
        <w:t xml:space="preserve">4. РЛ PVK: страница</w:t>
      </w:r>
      <w:r>
        <w:t xml:space="preserve"> </w:t>
      </w:r>
      <w:r>
        <w:rPr>
          <w:rStyle w:val="VerbatimChar"/>
        </w:rPr>
        <w:t xml:space="preserve">Дублетность</w:t>
      </w:r>
    </w:p>
    <w:p>
      <w:pPr>
        <w:pStyle w:val="FirstParagraph"/>
      </w:pPr>
      <w:r>
        <w:t xml:space="preserve">РЛ</w:t>
      </w:r>
      <w:r>
        <w:t xml:space="preserve"> </w:t>
      </w:r>
      <w:r>
        <w:rPr>
          <w:rStyle w:val="VerbatimChar"/>
        </w:rPr>
        <w:t xml:space="preserve">PVK</w:t>
      </w:r>
      <w:r>
        <w:t xml:space="preserve"> </w:t>
      </w:r>
      <w:r>
        <w:t xml:space="preserve">используется для описания под временным коллективным автором: конференцией, симпозиумом, выставкой и другим временным коллективом.</w:t>
      </w:r>
    </w:p>
    <w:p>
      <w:pPr>
        <w:pStyle w:val="BodyText"/>
      </w:pPr>
      <w:r>
        <w:t xml:space="preserve">Сверка на дублетность выполняется по совокупности данных:</w:t>
      </w:r>
    </w:p>
    <w:p>
      <w:pPr>
        <w:pStyle w:val="Compact"/>
        <w:numPr>
          <w:ilvl w:val="0"/>
          <w:numId w:val="1004"/>
        </w:numPr>
      </w:pPr>
      <w:r>
        <w:t xml:space="preserve">две последние цифры года издания;</w:t>
      </w:r>
    </w:p>
    <w:p>
      <w:pPr>
        <w:pStyle w:val="Compact"/>
        <w:numPr>
          <w:ilvl w:val="0"/>
          <w:numId w:val="1004"/>
        </w:numPr>
      </w:pPr>
      <w:r>
        <w:t xml:space="preserve">свёртка наименования временного коллектива и заглавия;</w:t>
      </w:r>
    </w:p>
    <w:p>
      <w:pPr>
        <w:pStyle w:val="Compact"/>
        <w:numPr>
          <w:ilvl w:val="0"/>
          <w:numId w:val="1004"/>
        </w:numPr>
      </w:pPr>
      <w:r>
        <w:t xml:space="preserve">цифровая часть номеров томов, изданных в одной печатной единице;</w:t>
      </w:r>
    </w:p>
    <w:p>
      <w:pPr>
        <w:pStyle w:val="Compact"/>
        <w:numPr>
          <w:ilvl w:val="0"/>
          <w:numId w:val="1004"/>
        </w:numPr>
      </w:pPr>
      <w:r>
        <w:t xml:space="preserve">номера выпусков и частей;</w:t>
      </w:r>
    </w:p>
    <w:p>
      <w:pPr>
        <w:pStyle w:val="Compact"/>
        <w:numPr>
          <w:ilvl w:val="0"/>
          <w:numId w:val="1004"/>
        </w:numPr>
      </w:pPr>
      <w:r>
        <w:t xml:space="preserve">объём документа.</w:t>
      </w:r>
    </w:p>
    <w:p>
      <w:pPr>
        <w:pStyle w:val="FirstParagraph"/>
      </w:pPr>
      <w:r>
        <w:t xml:space="preserve">Ключевые поля страницы: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Назначение и правило ввода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710</w:t>
            </w:r>
          </w:p>
        </w:tc>
        <w:tc>
          <w:tcPr/>
          <w:p>
            <w:pPr>
              <w:pStyle w:val="Compact"/>
            </w:pPr>
            <w:r>
              <w:t xml:space="preserve">Первый временный коллективный автор - заголовок описания. При ручном вводе для сверки достаточно наименования; остальные сведения можно уточнить после проверки дублетности.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200</w:t>
            </w:r>
          </w:p>
        </w:tc>
        <w:tc>
          <w:tcPr/>
          <w:p>
            <w:pPr>
              <w:pStyle w:val="Compact"/>
            </w:pPr>
            <w:r>
              <w:t xml:space="preserve">Заглавие. Для сверки достаточно наименования.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923</w:t>
            </w:r>
          </w:p>
        </w:tc>
        <w:tc>
          <w:tcPr/>
          <w:p>
            <w:pPr>
              <w:pStyle w:val="Compact"/>
            </w:pPr>
            <w:r>
              <w:t xml:space="preserve">Выпуск, часть, номер-заглавие. Для сверки достаточно номера выпуска или части.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210</w:t>
            </w:r>
          </w:p>
        </w:tc>
        <w:tc>
          <w:tcPr/>
          <w:p>
            <w:pPr>
              <w:pStyle w:val="Compact"/>
            </w:pPr>
            <w:r>
              <w:t xml:space="preserve">Год издания. Для сверки достаточно года.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ISBN. Используется для уточнения сверки.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Идентификационный номер нетекстового материала. Для уточнения сверки данные вводятся полностью.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215</w:t>
            </w:r>
          </w:p>
        </w:tc>
        <w:tc>
          <w:tcPr/>
          <w:p>
            <w:pPr>
              <w:pStyle w:val="Compact"/>
            </w:pPr>
            <w:r>
              <w:t xml:space="preserve">Объём. Для сверки вводится объём документа и, при необходимости, единица измерения.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920</w:t>
            </w:r>
          </w:p>
        </w:tc>
        <w:tc>
          <w:tcPr/>
          <w:p>
            <w:pPr>
              <w:pStyle w:val="Compact"/>
            </w:pPr>
            <w:r>
              <w:t xml:space="preserve">Код рабочего листа. По умолчанию для этого РЛ установлен</w:t>
            </w:r>
            <w:r>
              <w:t xml:space="preserve"> </w:t>
            </w:r>
            <w:r>
              <w:rPr>
                <w:rStyle w:val="VerbatimChar"/>
              </w:rPr>
              <w:t xml:space="preserve">PVK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900</w:t>
            </w:r>
          </w:p>
        </w:tc>
        <w:tc>
          <w:tcPr/>
          <w:p>
            <w:pPr>
              <w:pStyle w:val="Compact"/>
            </w:pPr>
            <w:r>
              <w:t xml:space="preserve">Вид документа. В исходной методике указан вид</w:t>
            </w:r>
            <w:r>
              <w:t xml:space="preserve"> </w:t>
            </w:r>
            <w:r>
              <w:rPr>
                <w:rStyle w:val="VerbatimChar"/>
              </w:rPr>
              <w:t xml:space="preserve">05</w:t>
            </w:r>
            <w:r>
              <w:t xml:space="preserve">; актуальность значения нужно сверять с текущими настройками.</w:t>
            </w:r>
          </w:p>
        </w:tc>
      </w:tr>
    </w:tbl>
    <w:p>
      <w:pPr>
        <w:pStyle w:val="BodyText"/>
      </w:pPr>
      <w:r>
        <w:t xml:space="preserve">Для временного коллектива дата указывается как год. Города проведения и роли выбираются через меню; несколько городов могут вводиться за одно обращение к меню. Перед элементами данных разделительные знаки вручную не ставятся.</w:t>
      </w:r>
    </w:p>
    <w:p>
      <w:pPr>
        <w:pStyle w:val="BodyText"/>
      </w:pPr>
      <w:r>
        <w:t xml:space="preserve">Временный коллектив включается в словарь коллективов, а отдельные слова из наименования - в словарь ключевых слов. Сокращённое или полное наименование может автоматически попадать в сведения об ответственности; необходимость такого включения задаётся ролью.</w:t>
      </w:r>
    </w:p>
    <w:bookmarkEnd w:id="13"/>
    <w:bookmarkStart w:id="14" w:name="рл-spec-страница-мн---общие-данные"/>
    <w:p>
      <w:pPr>
        <w:pStyle w:val="Heading2"/>
      </w:pPr>
      <w:r>
        <w:t xml:space="preserve">5. РЛ SPEC: страница</w:t>
      </w:r>
      <w:r>
        <w:t xml:space="preserve"> </w:t>
      </w:r>
      <w:r>
        <w:rPr>
          <w:rStyle w:val="VerbatimChar"/>
        </w:rPr>
        <w:t xml:space="preserve">МН - общие данные</w:t>
      </w:r>
    </w:p>
    <w:p>
      <w:pPr>
        <w:pStyle w:val="FirstParagraph"/>
      </w:pPr>
      <w:r>
        <w:t xml:space="preserve">РЛ</w:t>
      </w:r>
      <w:r>
        <w:t xml:space="preserve"> </w:t>
      </w:r>
      <w:r>
        <w:rPr>
          <w:rStyle w:val="VerbatimChar"/>
        </w:rPr>
        <w:t xml:space="preserve">SPEC</w:t>
      </w:r>
      <w:r>
        <w:t xml:space="preserve"> </w:t>
      </w:r>
      <w:r>
        <w:t xml:space="preserve">используется для сводного описания тома многотомного издания. В отличие от</w:t>
      </w:r>
      <w:r>
        <w:t xml:space="preserve"> </w:t>
      </w:r>
      <w:r>
        <w:rPr>
          <w:rStyle w:val="VerbatimChar"/>
        </w:rPr>
        <w:t xml:space="preserve">PAZK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PVK</w:t>
      </w:r>
      <w:r>
        <w:t xml:space="preserve">, отдельная страница дублетности здесь не используется: сверка выполняется при вводе объёма конкретного тома на странице</w:t>
      </w:r>
      <w:r>
        <w:t xml:space="preserve"> </w:t>
      </w:r>
      <w:r>
        <w:rPr>
          <w:rStyle w:val="VerbatimChar"/>
        </w:rPr>
        <w:t xml:space="preserve">Основное БО</w:t>
      </w:r>
      <w:r>
        <w:t xml:space="preserve">.</w:t>
      </w:r>
    </w:p>
    <w:p>
      <w:pPr>
        <w:pStyle w:val="BodyText"/>
      </w:pPr>
      <w:r>
        <w:t xml:space="preserve">На первой странице</w:t>
      </w:r>
      <w:r>
        <w:t xml:space="preserve"> </w:t>
      </w:r>
      <w:r>
        <w:rPr>
          <w:rStyle w:val="VerbatimChar"/>
        </w:rPr>
        <w:t xml:space="preserve">МН - общие данные</w:t>
      </w:r>
      <w:r>
        <w:t xml:space="preserve"> </w:t>
      </w:r>
      <w:r>
        <w:t xml:space="preserve">располагаются данные общей части многотомного издания и поля, которые участвуют в последующей сверке.</w:t>
      </w:r>
    </w:p>
    <w:p>
      <w:pPr>
        <w:pStyle w:val="BodyText"/>
      </w:pPr>
      <w:r>
        <w:t xml:space="preserve">Ключевые поля страницы: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Назначение и правило ввода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961</w:t>
            </w:r>
          </w:p>
        </w:tc>
        <w:tc>
          <w:tcPr/>
          <w:p>
            <w:pPr>
              <w:pStyle w:val="Compact"/>
            </w:pPr>
            <w:r>
              <w:t xml:space="preserve">Авторы, редакторы и другие лица, относящиеся к многотомному изданию в целом. Если авторов не больше трёх, один из них может быть отмечен как заголовок описания.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962</w:t>
            </w:r>
          </w:p>
        </w:tc>
        <w:tc>
          <w:tcPr/>
          <w:p>
            <w:pPr>
              <w:pStyle w:val="Compact"/>
            </w:pPr>
            <w:r>
              <w:t xml:space="preserve">Коллективные и временные коллективные авторы общей части. Поле используется для коллективов, относящихся ко всему многотомному изданию или к документу-источнику статьи.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461</w:t>
            </w:r>
          </w:p>
        </w:tc>
        <w:tc>
          <w:tcPr/>
          <w:p>
            <w:pPr>
              <w:pStyle w:val="Compact"/>
            </w:pPr>
            <w:r>
              <w:t xml:space="preserve">Основные данные общей части сводного описания тома: заглавие, сведения к заглавию, сведения об ответственности, выходные данные, размер, тираж, ISBN/ISSN, сведения об издании, перевод заглавия и заголовок описания.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данные общей части: общее обозначение материала, разночтения заглавия, серия, параллельные заглавия, примечания, предыдущее издание и другие связанные сведения.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920</w:t>
            </w:r>
          </w:p>
        </w:tc>
        <w:tc>
          <w:tcPr/>
          <w:p>
            <w:pPr>
              <w:pStyle w:val="Compact"/>
            </w:pPr>
            <w:r>
              <w:t xml:space="preserve">Код рабочего листа. По умолчанию для этого РЛ установлен</w:t>
            </w:r>
            <w:r>
              <w:t xml:space="preserve"> </w:t>
            </w:r>
            <w:r>
              <w:rPr>
                <w:rStyle w:val="VerbatimChar"/>
              </w:rPr>
              <w:t xml:space="preserve">SPEC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900</w:t>
            </w:r>
          </w:p>
        </w:tc>
        <w:tc>
          <w:tcPr/>
          <w:p>
            <w:pPr>
              <w:pStyle w:val="Compact"/>
            </w:pPr>
            <w:r>
              <w:t xml:space="preserve">Вид документа. В исходной методике для</w:t>
            </w:r>
            <w:r>
              <w:t xml:space="preserve"> </w:t>
            </w:r>
            <w:r>
              <w:rPr>
                <w:rStyle w:val="VerbatimChar"/>
              </w:rPr>
              <w:t xml:space="preserve">SPEC</w:t>
            </w:r>
            <w:r>
              <w:t xml:space="preserve"> </w:t>
            </w:r>
            <w:r>
              <w:t xml:space="preserve">указан вид</w:t>
            </w:r>
            <w:r>
              <w:t xml:space="preserve"> </w:t>
            </w:r>
            <w:r>
              <w:rPr>
                <w:rStyle w:val="VerbatimChar"/>
              </w:rPr>
              <w:t xml:space="preserve">03</w:t>
            </w:r>
            <w:r>
              <w:t xml:space="preserve">; актуальность значения нужно сверять с текущими настройками.</w:t>
            </w:r>
          </w:p>
        </w:tc>
      </w:tr>
    </w:tbl>
    <w:p>
      <w:pPr>
        <w:pStyle w:val="BodyText"/>
      </w:pPr>
      <w:r>
        <w:t xml:space="preserve">Поля</w:t>
      </w:r>
      <w:r>
        <w:t xml:space="preserve"> </w:t>
      </w:r>
      <w:r>
        <w:rPr>
          <w:rStyle w:val="VerbatimChar"/>
        </w:rPr>
        <w:t xml:space="preserve">961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962</w:t>
      </w:r>
      <w:r>
        <w:t xml:space="preserve"> </w:t>
      </w:r>
      <w:r>
        <w:t xml:space="preserve">могут вводиться с использованием словаря базы электронного каталога и авторитетных баз. В режиме мультиввода можно перенести несколько имён или коллективов за одно обращение к словарю.</w:t>
      </w:r>
    </w:p>
    <w:p>
      <w:pPr>
        <w:pStyle w:val="BodyText"/>
      </w:pPr>
      <w:r>
        <w:t xml:space="preserve">Если в</w:t>
      </w:r>
      <w:r>
        <w:t xml:space="preserve"> </w:t>
      </w:r>
      <w:r>
        <w:rPr>
          <w:rStyle w:val="VerbatimChar"/>
        </w:rPr>
        <w:t xml:space="preserve">961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962</w:t>
      </w:r>
      <w:r>
        <w:t xml:space="preserve"> </w:t>
      </w:r>
      <w:r>
        <w:t xml:space="preserve">установлен признак заголовка описания, заголовок сводного описания тома может формироваться автоматически. Данные лиц и коллективов также могут автоматически включаться в сведения об ответственности.</w:t>
      </w:r>
    </w:p>
    <w:p>
      <w:pPr>
        <w:pStyle w:val="BodyText"/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461</w:t>
      </w:r>
      <w:r>
        <w:t xml:space="preserve"> </w:t>
      </w:r>
      <w:r>
        <w:t xml:space="preserve">является обязательным для сводного описания тома. Оно описывает общую часть многотомного издания, а данные конкретного тома затем уточняются на других страницах рабочего листа.</w:t>
      </w:r>
    </w:p>
    <w:p>
      <w:pPr>
        <w:pStyle w:val="BodyText"/>
      </w:pPr>
      <w:r>
        <w:t xml:space="preserve">Если сведения, относящиеся к заглавию, не заполнены вручную, система может сформировать их автоматически на основе кода характера документа и справочника соответствий. Если такая автоматизация не нужна, её нужно отключить в настройке или очистить соответствующий справочник.</w:t>
      </w:r>
    </w:p>
    <w:p>
      <w:pPr>
        <w:pStyle w:val="BodyText"/>
      </w:pPr>
      <w:r>
        <w:t xml:space="preserve">Если сведения об ответственности не заполнены, они могут формироваться из введённых авторов, редакторов, коллективов и временных коллективов. При формировании учитываются инверсия ФИО, язык основного текста, количество авторов и признак необходимости включать коллектив в сведения об ответственности.</w:t>
      </w:r>
    </w:p>
    <w:p>
      <w:pPr>
        <w:pStyle w:val="BodyText"/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461</w:t>
      </w:r>
      <w:r>
        <w:t xml:space="preserve"> </w:t>
      </w:r>
      <w:r>
        <w:t xml:space="preserve">может повторяться для нескольких издательств. При нескольких издательствах можно управлять выводом городов и признаком вывода только первого издательства с пометой</w:t>
      </w:r>
      <w:r>
        <w:t xml:space="preserve"> </w:t>
      </w:r>
      <w:r>
        <w:t xml:space="preserve">“и др.”</w:t>
      </w:r>
      <w:r>
        <w:t xml:space="preserve">. Каждое издательство желательно вводить полно, чтобы словарь издательств оставался пригодным для поиска и повторного ввода.</w:t>
      </w:r>
    </w:p>
    <w:p>
      <w:pPr>
        <w:pStyle w:val="BodyText"/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46</w:t>
      </w:r>
      <w:r>
        <w:t xml:space="preserve"> </w:t>
      </w:r>
      <w:r>
        <w:t xml:space="preserve">используется для серий, параллельных заглавий, примечаний, предыдущих изданий и разночтений заглавия. Оно может повторяться, если нужно описать несколько связанных серий, несколько параллельных заглавий или несколько предыдущих изданий.</w:t>
      </w:r>
    </w:p>
    <w:bookmarkEnd w:id="14"/>
    <w:bookmarkStart w:id="15" w:name="Xdd415b45c5e0f9c3cc731f03284c7ec55bc6015"/>
    <w:p>
      <w:pPr>
        <w:pStyle w:val="Heading2"/>
      </w:pPr>
      <w:r>
        <w:t xml:space="preserve">6. РЛ ASP: страницы</w:t>
      </w:r>
      <w:r>
        <w:t xml:space="preserve"> </w:t>
      </w:r>
      <w:r>
        <w:rPr>
          <w:rStyle w:val="VerbatimChar"/>
        </w:rPr>
        <w:t xml:space="preserve">Дублетность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Рецензия/Реферат</w:t>
      </w:r>
    </w:p>
    <w:p>
      <w:pPr>
        <w:pStyle w:val="FirstParagraph"/>
      </w:pPr>
      <w:r>
        <w:t xml:space="preserve">РЛ</w:t>
      </w:r>
      <w:r>
        <w:t xml:space="preserve"> </w:t>
      </w:r>
      <w:r>
        <w:rPr>
          <w:rStyle w:val="VerbatimChar"/>
        </w:rPr>
        <w:t xml:space="preserve">ASP</w:t>
      </w:r>
      <w:r>
        <w:t xml:space="preserve"> </w:t>
      </w:r>
      <w:r>
        <w:t xml:space="preserve">используется для аналитического описания статьи. Первая страница содержит данные, которые участвуют в сверке на дублетность, а также сведения об источнике статьи.</w:t>
      </w:r>
    </w:p>
    <w:p>
      <w:pPr>
        <w:pStyle w:val="BodyText"/>
      </w:pPr>
      <w:r>
        <w:t xml:space="preserve">На странице</w:t>
      </w:r>
      <w:r>
        <w:t xml:space="preserve"> </w:t>
      </w:r>
      <w:r>
        <w:rPr>
          <w:rStyle w:val="VerbatimChar"/>
        </w:rPr>
        <w:t xml:space="preserve">Дублетность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ASP</w:t>
      </w:r>
      <w:r>
        <w:t xml:space="preserve"> </w:t>
      </w:r>
      <w:r>
        <w:t xml:space="preserve">важны:</w:t>
      </w:r>
    </w:p>
    <w:p>
      <w:pPr>
        <w:pStyle w:val="Compact"/>
        <w:numPr>
          <w:ilvl w:val="0"/>
          <w:numId w:val="1005"/>
        </w:numPr>
      </w:pPr>
      <w:r>
        <w:t xml:space="preserve">автор или коллективный автор статьи;</w:t>
      </w:r>
    </w:p>
    <w:p>
      <w:pPr>
        <w:pStyle w:val="Compact"/>
        <w:numPr>
          <w:ilvl w:val="0"/>
          <w:numId w:val="1005"/>
        </w:numPr>
      </w:pPr>
      <w:r>
        <w:t xml:space="preserve">заглавие статьи;</w:t>
      </w:r>
    </w:p>
    <w:p>
      <w:pPr>
        <w:pStyle w:val="Compact"/>
        <w:numPr>
          <w:ilvl w:val="0"/>
          <w:numId w:val="1005"/>
        </w:numPr>
      </w:pPr>
      <w:r>
        <w:t xml:space="preserve">сведения об источнике, в котором опубликована статья;</w:t>
      </w:r>
    </w:p>
    <w:p>
      <w:pPr>
        <w:pStyle w:val="Compact"/>
        <w:numPr>
          <w:ilvl w:val="0"/>
          <w:numId w:val="1005"/>
        </w:numPr>
      </w:pPr>
      <w:r>
        <w:t xml:space="preserve">год издания;</w:t>
      </w:r>
    </w:p>
    <w:p>
      <w:pPr>
        <w:pStyle w:val="Compact"/>
        <w:numPr>
          <w:ilvl w:val="0"/>
          <w:numId w:val="1005"/>
        </w:numPr>
      </w:pPr>
      <w:r>
        <w:t xml:space="preserve">местоположение статьи в источнике;</w:t>
      </w:r>
    </w:p>
    <w:p>
      <w:pPr>
        <w:pStyle w:val="Compact"/>
        <w:numPr>
          <w:ilvl w:val="0"/>
          <w:numId w:val="1005"/>
        </w:numPr>
      </w:pPr>
      <w:r>
        <w:t xml:space="preserve">код рабочего листа</w:t>
      </w:r>
      <w:r>
        <w:t xml:space="preserve"> </w:t>
      </w:r>
      <w:r>
        <w:rPr>
          <w:rStyle w:val="VerbatimChar"/>
        </w:rPr>
        <w:t xml:space="preserve">ASP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вид документа, который в исходной методике задан как статья из журнала.</w:t>
      </w:r>
    </w:p>
    <w:p>
      <w:pPr>
        <w:pStyle w:val="FirstParagraph"/>
      </w:pPr>
      <w:r>
        <w:t xml:space="preserve">Поле источника статьи содержит данные о заглавии источника, выходных данных, местоположении, номере статьи, иллюстрациях, обозначении тома или выпуска, частном заглавии и шифре документа в базе данных.</w:t>
      </w:r>
    </w:p>
    <w:p>
      <w:pPr>
        <w:pStyle w:val="BodyText"/>
      </w:pPr>
      <w:r>
        <w:t xml:space="preserve">В записях</w:t>
      </w:r>
      <w:r>
        <w:t xml:space="preserve"> </w:t>
      </w:r>
      <w:r>
        <w:rPr>
          <w:rStyle w:val="VerbatimChar"/>
        </w:rPr>
        <w:t xml:space="preserve">ASP</w:t>
      </w:r>
      <w:r>
        <w:t xml:space="preserve"> </w:t>
      </w:r>
      <w:r>
        <w:t xml:space="preserve">поля экземпляров обычно не вводятся. Описание статьи связано с документом-источником, а доступ к экземплярам определяется через источник.</w:t>
      </w:r>
    </w:p>
    <w:p>
      <w:pPr>
        <w:pStyle w:val="BodyText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Рецензия/Реферат</w:t>
      </w:r>
      <w:r>
        <w:t xml:space="preserve"> </w:t>
      </w:r>
      <w:r>
        <w:t xml:space="preserve">используется, если аналитическое описание является рецензией или рефератом. В ней указываются признак рецензии или реферата, заглавие рецензируемого документа, автор, сведения к заглавию, выходные данные, ISBN, идентификатор нетекстового материала, вид документа, шифр и имя базы данных.</w:t>
      </w:r>
    </w:p>
    <w:bookmarkEnd w:id="15"/>
    <w:bookmarkStart w:id="16" w:name="рл-auntd-страница-дублетность"/>
    <w:p>
      <w:pPr>
        <w:pStyle w:val="Heading2"/>
      </w:pPr>
      <w:r>
        <w:t xml:space="preserve">7. РЛ AUNTD: страница</w:t>
      </w:r>
      <w:r>
        <w:t xml:space="preserve"> </w:t>
      </w:r>
      <w:r>
        <w:rPr>
          <w:rStyle w:val="VerbatimChar"/>
        </w:rPr>
        <w:t xml:space="preserve">Дублетность</w:t>
      </w:r>
    </w:p>
    <w:p>
      <w:pPr>
        <w:pStyle w:val="FirstParagraph"/>
      </w:pPr>
      <w:r>
        <w:t xml:space="preserve">РЛ</w:t>
      </w:r>
      <w:r>
        <w:t xml:space="preserve"> </w:t>
      </w:r>
      <w:r>
        <w:rPr>
          <w:rStyle w:val="VerbatimChar"/>
        </w:rPr>
        <w:t xml:space="preserve">AUNTD</w:t>
      </w:r>
      <w:r>
        <w:t xml:space="preserve"> </w:t>
      </w:r>
      <w:r>
        <w:t xml:space="preserve">используется для аналитического описания юридических, директивных и нормативно-технических документов.</w:t>
      </w:r>
    </w:p>
    <w:p>
      <w:pPr>
        <w:pStyle w:val="BodyText"/>
      </w:pPr>
      <w:r>
        <w:t xml:space="preserve">По назначению первая страница близка к</w:t>
      </w:r>
      <w:r>
        <w:t xml:space="preserve"> </w:t>
      </w:r>
      <w:r>
        <w:rPr>
          <w:rStyle w:val="VerbatimChar"/>
        </w:rPr>
        <w:t xml:space="preserve">ASP</w:t>
      </w:r>
      <w:r>
        <w:t xml:space="preserve">: она содержит сведения об источнике и данные, необходимые для сверки на дублетность. Основное отличие состоит в составе специфических полей, ориентированных на юридический или нормативно-технический документ.</w:t>
      </w:r>
    </w:p>
    <w:p>
      <w:pPr>
        <w:pStyle w:val="BodyText"/>
      </w:pPr>
      <w:r>
        <w:t xml:space="preserve">При переносе подробных правил</w:t>
      </w:r>
      <w:r>
        <w:t xml:space="preserve"> </w:t>
      </w:r>
      <w:r>
        <w:rPr>
          <w:rStyle w:val="VerbatimChar"/>
        </w:rPr>
        <w:t xml:space="preserve">AUNTD</w:t>
      </w:r>
      <w:r>
        <w:t xml:space="preserve"> </w:t>
      </w:r>
      <w:r>
        <w:t xml:space="preserve">нужно сверять текущий состав рабочего листа и справочников, потому что этот тип описания сильнее зависит от локальной методики организации и набора используемых нормативных документов.</w:t>
      </w:r>
    </w:p>
    <w:bookmarkEnd w:id="16"/>
    <w:bookmarkStart w:id="17" w:name="X8eb790bbbca797e60c33088516d4422afbf9071"/>
    <w:p>
      <w:pPr>
        <w:pStyle w:val="Heading2"/>
      </w:pPr>
      <w:r>
        <w:t xml:space="preserve">8. РЛ J: ввод и корректировка описаний журналов</w:t>
      </w:r>
    </w:p>
    <w:p>
      <w:pPr>
        <w:pStyle w:val="FirstParagraph"/>
      </w:pPr>
      <w:r>
        <w:t xml:space="preserve">РЛ</w:t>
      </w:r>
      <w:r>
        <w:t xml:space="preserve"> </w:t>
      </w:r>
      <w:r>
        <w:rPr>
          <w:rStyle w:val="VerbatimChar"/>
        </w:rPr>
        <w:t xml:space="preserve">OJ51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!RPJ51</w:t>
      </w:r>
      <w:r>
        <w:t xml:space="preserve"> </w:t>
      </w:r>
      <w:r>
        <w:t xml:space="preserve">с кодом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используются для сводного описания журнала, газеты или другого сериального издания. В сводное описание по мере работы добавляются сведения об отдельных выпусках; сведения о первом поступлении могут вводиться одновременно с библиографическим описанием.</w:t>
      </w:r>
    </w:p>
    <w:p>
      <w:pPr>
        <w:pStyle w:val="BodyText"/>
      </w:pPr>
      <w:r>
        <w:t xml:space="preserve">РЛ</w:t>
      </w:r>
      <w:r>
        <w:t xml:space="preserve"> </w:t>
      </w:r>
      <w:r>
        <w:rPr>
          <w:rStyle w:val="VerbatimChar"/>
        </w:rPr>
        <w:t xml:space="preserve">OJ51</w:t>
      </w:r>
      <w:r>
        <w:t xml:space="preserve"> </w:t>
      </w:r>
      <w:r>
        <w:t xml:space="preserve">включает восемь страниц: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Страница</w:t>
            </w:r>
          </w:p>
        </w:tc>
        <w:tc>
          <w:tcPr/>
          <w:p>
            <w:pPr>
              <w:pStyle w:val="Compact"/>
            </w:pPr>
            <w:r>
              <w:t xml:space="preserve">Что вводится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Основное БО</w:t>
            </w:r>
          </w:p>
        </w:tc>
        <w:tc>
          <w:tcPr/>
          <w:p>
            <w:pPr>
              <w:pStyle w:val="Compact"/>
            </w:pPr>
            <w:r>
              <w:t xml:space="preserve">Заглавие, сведения об ответственности, выходные данные, серия, подсерия и раздел подсерии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Коды</w:t>
            </w:r>
          </w:p>
        </w:tc>
        <w:tc>
          <w:tcPr/>
          <w:p>
            <w:pPr>
              <w:pStyle w:val="Compact"/>
            </w:pPr>
            <w:r>
              <w:t xml:space="preserve">Кодированная информация, ISSN, шифр документа в БД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Расширенное. Изменения</w:t>
            </w:r>
          </w:p>
        </w:tc>
        <w:tc>
          <w:tcPr/>
          <w:p>
            <w:pPr>
              <w:pStyle w:val="Compact"/>
            </w:pPr>
            <w:r>
              <w:t xml:space="preserve">Коллективы, редактор, примечания, другие заглавия, связи с другими изданиями, сведения о предыдущих и последующих изданиях, внешние объекты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Физические характеристики</w:t>
            </w:r>
          </w:p>
        </w:tc>
        <w:tc>
          <w:tcPr/>
          <w:p>
            <w:pPr>
              <w:pStyle w:val="Compact"/>
            </w:pPr>
            <w:r>
              <w:t xml:space="preserve">Физические характеристики издания и отдельных номеров, сведения о приложениях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Систематизация</w:t>
            </w:r>
          </w:p>
        </w:tc>
        <w:tc>
          <w:tcPr/>
          <w:p>
            <w:pPr>
              <w:pStyle w:val="Compact"/>
            </w:pPr>
            <w:r>
              <w:t xml:space="preserve">Классификационные индексы, рубрики, ключевые слова, персоналии, аннотация, авторский знак и расстановочный шифр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Регистрация</w:t>
            </w:r>
          </w:p>
        </w:tc>
        <w:tc>
          <w:tcPr/>
          <w:p>
            <w:pPr>
              <w:pStyle w:val="Compact"/>
            </w:pPr>
            <w:r>
              <w:t xml:space="preserve">Поступивший выпуск или подшивка: год, том, номер, дополнение, электронный ресурс, технологический путь, экземпляры, номера подшивки, оглавление выпуска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Кумуляция</w:t>
            </w:r>
          </w:p>
        </w:tc>
        <w:tc>
          <w:tcPr/>
          <w:p>
            <w:pPr>
              <w:pStyle w:val="Compact"/>
            </w:pPr>
            <w:r>
              <w:t xml:space="preserve">Автоматически формируемые кумулированные сведения о зарегистрированных поступлениях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Технология</w:t>
            </w:r>
          </w:p>
        </w:tc>
        <w:tc>
          <w:tcPr/>
          <w:p>
            <w:pPr>
              <w:pStyle w:val="Compact"/>
            </w:pPr>
            <w:r>
              <w:t xml:space="preserve">Даты и исполнители ввода, управляющие коды, архивные данные экземпляров, держатель документа, количество выдач и сведения о заказанных экземплярах</w:t>
            </w:r>
          </w:p>
        </w:tc>
      </w:tr>
    </w:tbl>
    <w:p>
      <w:pPr>
        <w:pStyle w:val="BodyText"/>
      </w:pPr>
      <w:r>
        <w:t xml:space="preserve">При регистрации поступлений или другой корректировке документов с кодом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используется модификация</w:t>
      </w:r>
      <w:r>
        <w:t xml:space="preserve"> </w:t>
      </w:r>
      <w:r>
        <w:rPr>
          <w:rStyle w:val="VerbatimChar"/>
        </w:rPr>
        <w:t xml:space="preserve">!RPJ51</w:t>
      </w:r>
      <w:r>
        <w:t xml:space="preserve">. Её отличие от</w:t>
      </w:r>
      <w:r>
        <w:t xml:space="preserve"> </w:t>
      </w:r>
      <w:r>
        <w:rPr>
          <w:rStyle w:val="VerbatimChar"/>
        </w:rPr>
        <w:t xml:space="preserve">OJ51</w:t>
      </w:r>
      <w:r>
        <w:t xml:space="preserve"> </w:t>
      </w:r>
      <w:r>
        <w:t xml:space="preserve">состоит в порядке страниц: первой открывается страница</w:t>
      </w:r>
      <w:r>
        <w:t xml:space="preserve"> </w:t>
      </w:r>
      <w:r>
        <w:rPr>
          <w:rStyle w:val="VerbatimChar"/>
        </w:rPr>
        <w:t xml:space="preserve">Регистрация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!RPJ51</w:t>
      </w:r>
      <w:r>
        <w:t xml:space="preserve"> </w:t>
      </w:r>
      <w:r>
        <w:t xml:space="preserve">не предназначен для ручного выбора при создании нового документа: он используется как технологический вариант корректировки существующего журнального описания.</w:t>
      </w:r>
    </w:p>
    <w:bookmarkEnd w:id="17"/>
    <w:bookmarkStart w:id="18" w:name="X8350356cc535ec1920bd18dd4bb7288e541ae4d"/>
    <w:p>
      <w:pPr>
        <w:pStyle w:val="Heading2"/>
      </w:pPr>
      <w:r>
        <w:t xml:space="preserve">9. РЛ NJ, NJK и NJP: номера и подшивки журналов</w:t>
      </w:r>
    </w:p>
    <w:p>
      <w:pPr>
        <w:pStyle w:val="FirstParagraph"/>
      </w:pPr>
      <w:r>
        <w:t xml:space="preserve">РЛ</w:t>
      </w:r>
      <w:r>
        <w:t xml:space="preserve"> </w:t>
      </w:r>
      <w:r>
        <w:rPr>
          <w:rStyle w:val="VerbatimChar"/>
        </w:rPr>
        <w:t xml:space="preserve">!NJ31</w:t>
      </w:r>
      <w:r>
        <w:t xml:space="preserve"> </w:t>
      </w:r>
      <w:r>
        <w:t xml:space="preserve">с кодом</w:t>
      </w:r>
      <w:r>
        <w:t xml:space="preserve"> </w:t>
      </w:r>
      <w:r>
        <w:rPr>
          <w:rStyle w:val="VerbatimChar"/>
        </w:rPr>
        <w:t xml:space="preserve">NJ</w:t>
      </w:r>
      <w:r>
        <w:t xml:space="preserve"> </w:t>
      </w:r>
      <w:r>
        <w:t xml:space="preserve">используется для корректировки отдельного номера или выпуска журнала, который создаётся автоматически при регистрации поступления.</w:t>
      </w:r>
    </w:p>
    <w:p>
      <w:pPr>
        <w:pStyle w:val="BodyText"/>
      </w:pPr>
      <w:r>
        <w:t xml:space="preserve">Основная задача корректировки номера - ввод оглавления, если оно не было заполнено при регистрации.</w:t>
      </w:r>
    </w:p>
    <w:p>
      <w:pPr>
        <w:pStyle w:val="BodyText"/>
      </w:pPr>
      <w:r>
        <w:t xml:space="preserve">В РЛ номера используются страницы: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Страница</w:t>
            </w:r>
          </w:p>
        </w:tc>
        <w:tc>
          <w:tcPr/>
          <w:p>
            <w:pPr>
              <w:pStyle w:val="Compact"/>
            </w:pPr>
            <w:r>
              <w:t xml:space="preserve">Что вводится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Регистрационные данные номера</w:t>
            </w:r>
          </w:p>
        </w:tc>
        <w:tc>
          <w:tcPr/>
          <w:p>
            <w:pPr>
              <w:pStyle w:val="Compact"/>
            </w:pPr>
            <w:r>
              <w:t xml:space="preserve">Шифры описания журнала и выпуска, год, том, номер, дополнение, сведения о кумулированных номерах, экземпляры и технологический 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Оглавление</w:t>
            </w:r>
          </w:p>
        </w:tc>
        <w:tc>
          <w:tcPr/>
          <w:p>
            <w:pPr>
              <w:pStyle w:val="Compact"/>
            </w:pPr>
            <w:r>
              <w:t xml:space="preserve">Сведения о статьях, опубликованных в номере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Приложения на вкладках</w:t>
            </w:r>
          </w:p>
        </w:tc>
        <w:tc>
          <w:tcPr/>
          <w:p>
            <w:pPr>
              <w:pStyle w:val="Compact"/>
            </w:pPr>
            <w:r>
              <w:t xml:space="preserve">Сведения о ненумерованных страницах и дополнительных материалах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Технология</w:t>
            </w:r>
          </w:p>
        </w:tc>
        <w:tc>
          <w:tcPr/>
          <w:p>
            <w:pPr>
              <w:pStyle w:val="Compact"/>
            </w:pPr>
            <w:r>
              <w:t xml:space="preserve">Даты и исполнители, управляющие коды, архивные данные экземпляров, держатель документа, количество выдач, количественные характеристики, сведения о внешних объектах</w:t>
            </w:r>
          </w:p>
        </w:tc>
      </w:tr>
    </w:tbl>
    <w:p>
      <w:pPr>
        <w:pStyle w:val="BodyText"/>
      </w:pPr>
      <w:r>
        <w:t xml:space="preserve">Код</w:t>
      </w:r>
      <w:r>
        <w:t xml:space="preserve"> </w:t>
      </w:r>
      <w:r>
        <w:rPr>
          <w:rStyle w:val="VerbatimChar"/>
        </w:rPr>
        <w:t xml:space="preserve">NJK</w:t>
      </w:r>
      <w:r>
        <w:t xml:space="preserve"> </w:t>
      </w:r>
      <w:r>
        <w:t xml:space="preserve">используется для описания подшивки. Код</w:t>
      </w:r>
      <w:r>
        <w:t xml:space="preserve"> </w:t>
      </w:r>
      <w:r>
        <w:rPr>
          <w:rStyle w:val="VerbatimChar"/>
        </w:rPr>
        <w:t xml:space="preserve">NJP</w:t>
      </w:r>
      <w:r>
        <w:t xml:space="preserve"> </w:t>
      </w:r>
      <w:r>
        <w:t xml:space="preserve">используется для номера, вошедшего в подшивку. Эти коды формируются технологически при глобальной корректировке и не выбираются вручную при создании нового документа.</w:t>
      </w:r>
    </w:p>
    <w:bookmarkEnd w:id="18"/>
    <w:bookmarkStart w:id="19" w:name="рл-ibis-упрощённое-описание-книги"/>
    <w:p>
      <w:pPr>
        <w:pStyle w:val="Heading2"/>
      </w:pPr>
      <w:r>
        <w:t xml:space="preserve">10. РЛ IBIS: упрощённое описание книги</w:t>
      </w:r>
    </w:p>
    <w:p>
      <w:pPr>
        <w:pStyle w:val="FirstParagraph"/>
      </w:pPr>
      <w:r>
        <w:t xml:space="preserve">РЛ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предназначен для упрощённого ввода данных о книге без полного анализа издания по традиционной методике.</w:t>
      </w:r>
    </w:p>
    <w:p>
      <w:pPr>
        <w:pStyle w:val="BodyText"/>
      </w:pPr>
      <w:r>
        <w:t xml:space="preserve">Такой РЛ содержит ограниченный набор страниц и не предполагает:</w:t>
      </w:r>
    </w:p>
    <w:p>
      <w:pPr>
        <w:pStyle w:val="Compact"/>
        <w:numPr>
          <w:ilvl w:val="0"/>
          <w:numId w:val="1006"/>
        </w:numPr>
      </w:pPr>
      <w:r>
        <w:t xml:space="preserve">проверки на дублетность по элементам библиографического описания;</w:t>
      </w:r>
    </w:p>
    <w:p>
      <w:pPr>
        <w:pStyle w:val="Compact"/>
        <w:numPr>
          <w:ilvl w:val="0"/>
          <w:numId w:val="1006"/>
        </w:numPr>
      </w:pPr>
      <w:r>
        <w:t xml:space="preserve">ввода результатов анализа издания для сложных видов описания;</w:t>
      </w:r>
    </w:p>
    <w:p>
      <w:pPr>
        <w:pStyle w:val="Compact"/>
        <w:numPr>
          <w:ilvl w:val="0"/>
          <w:numId w:val="1006"/>
        </w:numPr>
      </w:pPr>
      <w:r>
        <w:t xml:space="preserve">подготовки полного набора каталожных карточек и дополнительных точек доступа.</w:t>
      </w:r>
    </w:p>
    <w:p>
      <w:pPr>
        <w:pStyle w:val="FirstParagraph"/>
      </w:pPr>
      <w:r>
        <w:t xml:space="preserve">При этом сохраняется контроль обязательных полей и контроль дублетности шифра издания.</w:t>
      </w:r>
    </w:p>
    <w:bookmarkEnd w:id="19"/>
    <w:bookmarkStart w:id="21" w:name="дальнейший-перенос"/>
    <w:p>
      <w:pPr>
        <w:pStyle w:val="Heading2"/>
      </w:pPr>
      <w:r>
        <w:t xml:space="preserve">11. Дальнейший перенос</w:t>
      </w:r>
    </w:p>
    <w:p>
      <w:pPr>
        <w:pStyle w:val="FirstParagraph"/>
      </w:pPr>
      <w:r>
        <w:t xml:space="preserve">Общие страницы рабочих листов и поля, применяемые в нескольких видах описаний, описаны в разделе</w:t>
      </w:r>
      <w:r>
        <w:t xml:space="preserve"> </w:t>
      </w:r>
      <w:hyperlink r:id="rId20">
        <w:r>
          <w:rPr>
            <w:rStyle w:val="Hyperlink"/>
          </w:rPr>
          <w:t xml:space="preserve">Общие поля рабочих листов</w:t>
        </w:r>
      </w:hyperlink>
      <w:r>
        <w:t xml:space="preserve">.</w:t>
      </w:r>
    </w:p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0" Target="?id=Help/Show&amp;m=Cataloguer/Help/CataloguerGuide/BibliographicRecords/CommonFields" TargetMode="External" /><Relationship Type="http://schemas.openxmlformats.org/officeDocument/2006/relationships/hyperlink" Id="rId9" Target="?id=Help/Show&amp;m=Cataloguer/Help/CataloguerGuide/BibliographicRecords/GeneralRul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?id=Help/Show&amp;m=Cataloguer/Help/CataloguerGuide/BibliographicRecords/CommonFields" TargetMode="External" /><Relationship Type="http://schemas.openxmlformats.org/officeDocument/2006/relationships/hyperlink" Id="rId9" Target="?id=Help/Show&amp;m=Cataloguer/Help/CataloguerGuide/BibliographicRecords/GeneralRul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Специфика заполнения отдельных полей</dc:title>
  <dc:creator/>
  <cp:keywords/>
  <dcterms:created xsi:type="dcterms:W3CDTF">2026-09-02T06:48:06Z</dcterms:created>
  <dcterms:modified xsi:type="dcterms:W3CDTF">2026-09-02T06:48:06Z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