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ециальные-базы-данных"/>
    <w:p>
      <w:pPr>
        <w:pStyle w:val="Heading1"/>
      </w:pPr>
      <w:r>
        <w:t xml:space="preserve">Специальные базы данных</w:t>
      </w:r>
    </w:p>
    <w:p>
      <w:pPr>
        <w:pStyle w:val="FirstParagraph"/>
      </w:pPr>
      <w:r>
        <w:t xml:space="preserve">Этот раздел описывает специальные базы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ARCH</w:t>
      </w:r>
      <w:r>
        <w:t xml:space="preserve">, которые упоминаются в методике ввода библиографических записей и присутствуют в текущей поставке. Перед внедрением в конкретной организации нужно проверить, что соответствующие базы подключены в настройках и доступны пользователям.</w:t>
      </w:r>
    </w:p>
    <w:bookmarkStart w:id="9" w:name="kzd-календарь-знаменательных-дат"/>
    <w:p>
      <w:pPr>
        <w:pStyle w:val="Heading2"/>
      </w:pPr>
      <w:r>
        <w:t xml:space="preserve">1.</w:t>
      </w:r>
      <w:r>
        <w:t xml:space="preserve"> </w:t>
      </w:r>
      <w:r>
        <w:rPr>
          <w:rStyle w:val="VerbatimChar"/>
        </w:rPr>
        <w:t xml:space="preserve">KZD</w:t>
      </w:r>
      <w:r>
        <w:t xml:space="preserve">: календарь знаменательных дат</w:t>
      </w:r>
    </w:p>
    <w:p>
      <w:pPr>
        <w:pStyle w:val="FirstParagraph"/>
      </w:pPr>
      <w:r>
        <w:t xml:space="preserve">База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предназначена для ведения календаря знаменательных дат. В ней описываются:</w:t>
      </w:r>
    </w:p>
    <w:p>
      <w:pPr>
        <w:pStyle w:val="Compact"/>
        <w:numPr>
          <w:ilvl w:val="0"/>
          <w:numId w:val="1001"/>
        </w:numPr>
      </w:pPr>
      <w:r>
        <w:t xml:space="preserve">персоны;</w:t>
      </w:r>
    </w:p>
    <w:p>
      <w:pPr>
        <w:pStyle w:val="Compact"/>
        <w:numPr>
          <w:ilvl w:val="0"/>
          <w:numId w:val="1001"/>
        </w:numPr>
      </w:pPr>
      <w:r>
        <w:t xml:space="preserve">предметы, например книги или произведения живописи;</w:t>
      </w:r>
    </w:p>
    <w:p>
      <w:pPr>
        <w:pStyle w:val="Compact"/>
        <w:numPr>
          <w:ilvl w:val="0"/>
          <w:numId w:val="1001"/>
        </w:numPr>
      </w:pPr>
      <w:r>
        <w:t xml:space="preserve">мероприятия, например выставки и конференции;</w:t>
      </w:r>
    </w:p>
    <w:p>
      <w:pPr>
        <w:pStyle w:val="Compact"/>
        <w:numPr>
          <w:ilvl w:val="0"/>
          <w:numId w:val="1001"/>
        </w:numPr>
      </w:pPr>
      <w:r>
        <w:t xml:space="preserve">события, включая праздники, культурные и исторические даты.</w:t>
      </w:r>
    </w:p>
    <w:p>
      <w:pPr>
        <w:pStyle w:val="FirstParagraph"/>
      </w:pPr>
      <w:r>
        <w:t xml:space="preserve">Для части объектов подготовлены подробные рабочие листы. Другие объекты могут описываться минимально: название, аннотация и даты для календаря.</w:t>
      </w:r>
    </w:p>
    <w:p>
      <w:pPr>
        <w:pStyle w:val="BodyText"/>
      </w:pPr>
      <w:r>
        <w:t xml:space="preserve">Обязательное поле для всех записей -</w:t>
      </w:r>
      <w:r>
        <w:t xml:space="preserve"> </w:t>
      </w:r>
      <w:r>
        <w:rPr>
          <w:rStyle w:val="VerbatimChar"/>
        </w:rPr>
        <w:t xml:space="preserve">Даты для КЗД</w:t>
      </w:r>
      <w:r>
        <w:t xml:space="preserve">. В нём фиксируется дата события и интервал, через который отмечается юбилей. На основе этого поля формируются специальные словари:</w:t>
      </w:r>
    </w:p>
    <w:p>
      <w:pPr>
        <w:pStyle w:val="Compact"/>
        <w:numPr>
          <w:ilvl w:val="0"/>
          <w:numId w:val="1002"/>
        </w:numPr>
      </w:pPr>
      <w:r>
        <w:t xml:space="preserve">год, месяц и день события;</w:t>
      </w:r>
    </w:p>
    <w:p>
      <w:pPr>
        <w:pStyle w:val="Compact"/>
        <w:numPr>
          <w:ilvl w:val="0"/>
          <w:numId w:val="1002"/>
        </w:numPr>
      </w:pPr>
      <w:r>
        <w:t xml:space="preserve">месяц и день для группировки событий по календарным датам;</w:t>
      </w:r>
    </w:p>
    <w:p>
      <w:pPr>
        <w:pStyle w:val="Compact"/>
        <w:numPr>
          <w:ilvl w:val="0"/>
          <w:numId w:val="1002"/>
        </w:numPr>
      </w:pPr>
      <w:r>
        <w:t xml:space="preserve">юбилеи текущего года;</w:t>
      </w:r>
    </w:p>
    <w:p>
      <w:pPr>
        <w:pStyle w:val="Compact"/>
        <w:numPr>
          <w:ilvl w:val="0"/>
          <w:numId w:val="1002"/>
        </w:numPr>
      </w:pPr>
      <w:r>
        <w:t xml:space="preserve">события, до юбилея которых осталось заданное число лет.</w:t>
      </w:r>
    </w:p>
    <w:p>
      <w:pPr>
        <w:pStyle w:val="FirstParagraph"/>
      </w:pPr>
      <w:r>
        <w:t xml:space="preserve">Словари, зависящие от текущего года, нужно перестраивать в начале каждого календарного года. Иначе подборки юбилеев и событий будущих лет перестают быть актуальными.</w:t>
      </w:r>
    </w:p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могут ссылаться на связанные документы текущей базы или других баз, включая электронный каталог. Например, запись выставки может ссылаться на каталог этой выставки. Для библиографии используется поле</w:t>
      </w:r>
      <w:r>
        <w:t xml:space="preserve"> </w:t>
      </w:r>
      <w:r>
        <w:rPr>
          <w:rStyle w:val="VerbatimChar"/>
        </w:rPr>
        <w:t xml:space="preserve">320</w:t>
      </w:r>
      <w:r>
        <w:t xml:space="preserve">, которое может формироваться с переносом краткого библиографического описания из записей электронного каталога. База для заимствования задаётся в настройке.</w:t>
      </w:r>
    </w:p>
    <w:p>
      <w:pPr>
        <w:pStyle w:val="BodyText"/>
      </w:pPr>
      <w:r>
        <w:t xml:space="preserve">Также поддерживается связь записи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с документом-источником, где опубликована нужная статья: источником могут быть поля оглавления выпуска журнала или содержания сборника.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подготовлены выходные формы: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CALENDAR</w:t>
      </w:r>
      <w:r>
        <w:t xml:space="preserve"> </w:t>
      </w:r>
      <w:r>
        <w:t xml:space="preserve">- календарь с сортировкой по месяцам, кратким описанием события и полной аннотацией;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UKT</w:t>
      </w:r>
      <w:r>
        <w:t xml:space="preserve"> </w:t>
      </w:r>
      <w:r>
        <w:t xml:space="preserve">- указатель событий по тематике с размножением рубрик и событий, если в одной записи несколько рубрик и несколько календарных дат.</w:t>
      </w:r>
    </w:p>
    <w:p>
      <w:pPr>
        <w:pStyle w:val="FirstParagraph"/>
      </w:pPr>
      <w:r>
        <w:t xml:space="preserve">Табличные формы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используют комбинации повторяющихся полей, поэтому их нельзя корректировать как обычную форму, полностью построенную генератором форматов. Для просмотра подготовлены HTML-форматы</w:t>
      </w:r>
      <w:r>
        <w:t xml:space="preserve"> </w:t>
      </w:r>
      <w:r>
        <w:rPr>
          <w:rStyle w:val="VerbatimChar"/>
        </w:rPr>
        <w:t xml:space="preserve">kzd_h.pft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kzd_h_uni.pft</w:t>
      </w:r>
      <w:r>
        <w:t xml:space="preserve">; второй вариант показывает графические внешние файлы непосредственно в формате.</w:t>
      </w:r>
    </w:p>
    <w:p>
      <w:pPr>
        <w:pStyle w:val="BodyText"/>
      </w:pPr>
      <w:r>
        <w:t xml:space="preserve">В текущей поставке материалы базы находятся в</w:t>
      </w:r>
      <w:r>
        <w:t xml:space="preserve"> </w:t>
      </w:r>
      <w:r>
        <w:rPr>
          <w:rStyle w:val="VerbatimChar"/>
        </w:rPr>
        <w:t xml:space="preserve">modules/i128f/Distr/datai/kzd</w:t>
      </w:r>
      <w:r>
        <w:t xml:space="preserve">, включая рабочие листы</w:t>
      </w:r>
      <w:r>
        <w:t xml:space="preserve"> </w:t>
      </w:r>
      <w:r>
        <w:rPr>
          <w:rStyle w:val="VerbatimChar"/>
        </w:rPr>
        <w:t xml:space="preserve">pers.ws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predm.ws</w:t>
      </w:r>
      <w:r>
        <w:t xml:space="preserve">,</w:t>
      </w:r>
      <w:r>
        <w:t xml:space="preserve"> </w:t>
      </w:r>
      <w:r>
        <w:rPr>
          <w:rStyle w:val="VerbatimChar"/>
        </w:rPr>
        <w:t xml:space="preserve">sob.ws</w:t>
      </w:r>
      <w:r>
        <w:t xml:space="preserve">,</w:t>
      </w:r>
      <w:r>
        <w:t xml:space="preserve"> </w:t>
      </w:r>
      <w:r>
        <w:rPr>
          <w:rStyle w:val="VerbatimChar"/>
        </w:rPr>
        <w:t xml:space="preserve">kf.ws</w:t>
      </w:r>
      <w:r>
        <w:t xml:space="preserve">,</w:t>
      </w:r>
      <w:r>
        <w:t xml:space="preserve"> </w:t>
      </w:r>
      <w:r>
        <w:rPr>
          <w:rStyle w:val="VerbatimChar"/>
        </w:rPr>
        <w:t xml:space="preserve">vs.ws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kzd_h.pft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kzd_h_uni.pft</w:t>
      </w:r>
      <w:r>
        <w:t xml:space="preserve"> </w:t>
      </w:r>
      <w:r>
        <w:t xml:space="preserve">и табличные формы</w:t>
      </w:r>
      <w:r>
        <w:t xml:space="preserve"> </w:t>
      </w:r>
      <w:r>
        <w:rPr>
          <w:rStyle w:val="VerbatimChar"/>
        </w:rPr>
        <w:t xml:space="preserve">calendar</w:t>
      </w:r>
      <w:r>
        <w:t xml:space="preserve">/</w:t>
      </w:r>
      <w:r>
        <w:rPr>
          <w:rStyle w:val="VerbatimChar"/>
        </w:rPr>
        <w:t xml:space="preserve">ukt</w:t>
      </w:r>
      <w:r>
        <w:t xml:space="preserve">.</w:t>
      </w:r>
    </w:p>
    <w:bookmarkEnd w:id="9"/>
    <w:bookmarkStart w:id="10" w:name="arch-технический-архив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ARCH</w:t>
      </w:r>
      <w:r>
        <w:t xml:space="preserve">: технический архив</w:t>
      </w:r>
    </w:p>
    <w:p>
      <w:pPr>
        <w:pStyle w:val="FirstParagraph"/>
      </w:pPr>
      <w:r>
        <w:t xml:space="preserve">База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ориентирована на задачи технического архива предприятия и работу с проектно-конструкторской технической документацией.</w:t>
      </w:r>
    </w:p>
    <w:p>
      <w:pPr>
        <w:pStyle w:val="BodyText"/>
      </w:pPr>
      <w:r>
        <w:t xml:space="preserve">Структура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основана на электронном каталоге, а рабочий лист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близок к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Часть полей электронного каталога удалена, часть расширена, а часть добавлена специально для технической документации. В частности, предусмотрены сведения о договорах, разрешениях на изменение и марках комплектов рабочих чертежей.</w:t>
      </w:r>
    </w:p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arch.ws</w:t>
      </w:r>
      <w:r>
        <w:t xml:space="preserve"> </w:t>
      </w:r>
      <w:r>
        <w:t xml:space="preserve">не использует вложенные рабочие листы полей и содержит закладки: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Коды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Основное БО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Расширенное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Экземпляры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Технология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Систематизация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Содержание</w:t>
      </w:r>
      <w:r>
        <w:t xml:space="preserve">.</w:t>
      </w:r>
    </w:p>
    <w:p>
      <w:pPr>
        <w:pStyle w:val="FirstParagraph"/>
      </w:pPr>
      <w:r>
        <w:t xml:space="preserve">Поля, рабочие листы подполей и форматы просмотра/печати, настроенные для</w:t>
      </w:r>
      <w:r>
        <w:t xml:space="preserve"> </w:t>
      </w:r>
      <w:r>
        <w:rPr>
          <w:rStyle w:val="VerbatimChar"/>
        </w:rPr>
        <w:t xml:space="preserve">ARCH</w:t>
      </w:r>
      <w:r>
        <w:t xml:space="preserve">, обычно имеют суффикс</w:t>
      </w:r>
      <w:r>
        <w:t xml:space="preserve"> </w:t>
      </w:r>
      <w:r>
        <w:rPr>
          <w:rStyle w:val="VerbatimChar"/>
        </w:rPr>
        <w:t xml:space="preserve">_arch</w:t>
      </w:r>
      <w:r>
        <w:t xml:space="preserve">. Это позволяет сочетать технический архив с библиографической базой, не смешивая специализированные настройки.</w:t>
      </w:r>
    </w:p>
    <w:p>
      <w:pPr>
        <w:pStyle w:val="BodyText"/>
      </w:pPr>
      <w:r>
        <w:t xml:space="preserve">Главная особенность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- глубокие иерархические связи между документами. Связи вводятся в поля</w:t>
      </w:r>
      <w:r>
        <w:t xml:space="preserve"> </w:t>
      </w:r>
      <w:r>
        <w:rPr>
          <w:rStyle w:val="VerbatimChar"/>
        </w:rPr>
        <w:t xml:space="preserve">421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422</w:t>
      </w:r>
      <w:r>
        <w:t xml:space="preserve">, но форматы построены так, что для организации дерева достаточно ссылки вверх в поле</w:t>
      </w:r>
      <w:r>
        <w:t xml:space="preserve"> </w:t>
      </w:r>
      <w:r>
        <w:rPr>
          <w:rStyle w:val="VerbatimChar"/>
        </w:rPr>
        <w:t xml:space="preserve">422</w:t>
      </w:r>
      <w:r>
        <w:t xml:space="preserve">. Ссылки вниз в поле</w:t>
      </w:r>
      <w:r>
        <w:t xml:space="preserve"> </w:t>
      </w:r>
      <w:r>
        <w:rPr>
          <w:rStyle w:val="VerbatimChar"/>
        </w:rPr>
        <w:t xml:space="preserve">421</w:t>
      </w:r>
      <w:r>
        <w:t xml:space="preserve"> </w:t>
      </w:r>
      <w:r>
        <w:t xml:space="preserve">можно не вводить.</w:t>
      </w:r>
    </w:p>
    <w:p>
      <w:pPr>
        <w:pStyle w:val="BodyText"/>
      </w:pPr>
      <w:r>
        <w:t xml:space="preserve">Для построения дерева связанных документов используется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, которое содержит полный путь вверх от текущего документа до верхнего уровня. Поле строится автоматически и имеет нестандартную структуру с повторяющимися подполями. Основой связи является обязательный уникальный идентификатор записи в поле</w:t>
      </w:r>
      <w:r>
        <w:t xml:space="preserve"> </w:t>
      </w:r>
      <w:r>
        <w:rPr>
          <w:rStyle w:val="VerbatimChar"/>
        </w:rPr>
        <w:t xml:space="preserve">19^b</w:t>
      </w:r>
      <w:r>
        <w:t xml:space="preserve">.</w:t>
      </w:r>
    </w:p>
    <w:p>
      <w:pPr>
        <w:pStyle w:val="BodyText"/>
      </w:pPr>
      <w:r>
        <w:t xml:space="preserve">Если база была создана ранее, предварительная разметка выполняется глобальными корректировками: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add14d.gbl</w:t>
      </w:r>
      <w:r>
        <w:t xml:space="preserve"> </w:t>
      </w:r>
      <w:r>
        <w:t xml:space="preserve">- выполняется однократно;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add14d2.gbl</w:t>
      </w:r>
      <w:r>
        <w:t xml:space="preserve"> </w:t>
      </w:r>
      <w:r>
        <w:t xml:space="preserve">- выполняется несколько раз, пока в словаре</w:t>
      </w:r>
      <w:r>
        <w:t xml:space="preserve"> </w:t>
      </w:r>
      <w:r>
        <w:rPr>
          <w:rStyle w:val="VerbatimChar"/>
        </w:rPr>
        <w:t xml:space="preserve">Иерархия</w:t>
      </w:r>
      <w:r>
        <w:t xml:space="preserve"> </w:t>
      </w:r>
      <w:r>
        <w:t xml:space="preserve">перестанут увеличиваться число документов с полем</w:t>
      </w:r>
      <w:r>
        <w:t xml:space="preserve"> </w:t>
      </w:r>
      <w:r>
        <w:rPr>
          <w:rStyle w:val="VerbatimChar"/>
        </w:rPr>
        <w:t xml:space="preserve">14</w:t>
      </w:r>
      <w:r>
        <w:t xml:space="preserve"> </w:t>
      </w:r>
      <w:r>
        <w:t xml:space="preserve">и общее число полей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FirstParagraph"/>
      </w:pPr>
      <w:r>
        <w:t xml:space="preserve">При выполнении этих заданий на всей базе для ускорения работы целесообразно отключать формально-логический контроль и автоввод.</w:t>
      </w:r>
    </w:p>
    <w:p>
      <w:pPr>
        <w:pStyle w:val="BodyText"/>
      </w:pPr>
      <w:r>
        <w:t xml:space="preserve">В текущем режиме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 </w:t>
      </w:r>
      <w:r>
        <w:t xml:space="preserve">формируется автоматически при вводе новой ссылки в</w:t>
      </w:r>
      <w:r>
        <w:t xml:space="preserve"> </w:t>
      </w:r>
      <w:r>
        <w:rPr>
          <w:rStyle w:val="VerbatimChar"/>
        </w:rPr>
        <w:t xml:space="preserve">422</w:t>
      </w:r>
      <w:r>
        <w:t xml:space="preserve">, если документ-цель уже существует в базе и ссылка вводится через словарь.</w:t>
      </w:r>
    </w:p>
    <w:p>
      <w:pPr>
        <w:pStyle w:val="BodyText"/>
      </w:pPr>
      <w:r>
        <w:t xml:space="preserve">Для просмотра подготовлены специальные форматы дерева и гнезда. Формат</w:t>
      </w:r>
      <w:r>
        <w:t xml:space="preserve"> </w:t>
      </w:r>
      <w:r>
        <w:rPr>
          <w:rStyle w:val="VerbatimChar"/>
        </w:rPr>
        <w:t xml:space="preserve">kn_arch_h.pft</w:t>
      </w:r>
      <w:r>
        <w:t xml:space="preserve"> </w:t>
      </w:r>
      <w:r>
        <w:t xml:space="preserve">позволяет перейти к просмотру текущего документа как дерева на всю глубину вверх и вниз или как гнезда на один шаг вверх и вниз. В этих режимах можно отмечать связанные документы и экспортировать их вместе с внешними объектами.</w:t>
      </w:r>
    </w:p>
    <w:p>
      <w:pPr>
        <w:pStyle w:val="BodyText"/>
      </w:pPr>
      <w:r>
        <w:t xml:space="preserve">В текущей поставке материалы базы находятся в</w:t>
      </w:r>
      <w:r>
        <w:t xml:space="preserve"> </w:t>
      </w:r>
      <w:r>
        <w:rPr>
          <w:rStyle w:val="VerbatimChar"/>
        </w:rPr>
        <w:t xml:space="preserve">modules/i128f/Distr/datai/arch</w:t>
      </w:r>
      <w:r>
        <w:t xml:space="preserve">, а дополнительные форматы просмотра - в</w:t>
      </w:r>
      <w:r>
        <w:t xml:space="preserve"> </w:t>
      </w:r>
      <w:r>
        <w:rPr>
          <w:rStyle w:val="VerbatimChar"/>
        </w:rPr>
        <w:t xml:space="preserve">modules/Format/formats/ARCH</w:t>
      </w:r>
      <w:r>
        <w:t xml:space="preserve">.</w:t>
      </w:r>
    </w:p>
    <w:bookmarkEnd w:id="10"/>
    <w:bookmarkStart w:id="11" w:name="контроль-перед-использованием"/>
    <w:p>
      <w:pPr>
        <w:pStyle w:val="Heading2"/>
      </w:pPr>
      <w:r>
        <w:t xml:space="preserve">3. Контроль перед использованием</w:t>
      </w:r>
    </w:p>
    <w:p>
      <w:pPr>
        <w:pStyle w:val="FirstParagraph"/>
      </w:pPr>
      <w:r>
        <w:t xml:space="preserve">Перед публикацией этих разделов как пользовательской инструкции для конкретной установки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подключены ли базы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в списке баз данных;</w:t>
      </w:r>
    </w:p>
    <w:p>
      <w:pPr>
        <w:pStyle w:val="Compact"/>
        <w:numPr>
          <w:ilvl w:val="0"/>
          <w:numId w:val="1006"/>
        </w:numPr>
      </w:pPr>
      <w:r>
        <w:t xml:space="preserve">используются ли они в организации фактически или остаются демонстрационными/типовыми поставочными базами;</w:t>
      </w:r>
    </w:p>
    <w:p>
      <w:pPr>
        <w:pStyle w:val="Compact"/>
        <w:numPr>
          <w:ilvl w:val="0"/>
          <w:numId w:val="1006"/>
        </w:numPr>
      </w:pPr>
      <w:r>
        <w:t xml:space="preserve">доступны ли пользователям нужные рабочие листы и форматы;</w:t>
      </w:r>
    </w:p>
    <w:p>
      <w:pPr>
        <w:pStyle w:val="Compact"/>
        <w:numPr>
          <w:ilvl w:val="0"/>
          <w:numId w:val="1006"/>
        </w:numPr>
      </w:pPr>
      <w:r>
        <w:t xml:space="preserve">настроены ли внешние объекты и переходы по связанным документам;</w:t>
      </w:r>
    </w:p>
    <w:p>
      <w:pPr>
        <w:pStyle w:val="Compact"/>
        <w:numPr>
          <w:ilvl w:val="0"/>
          <w:numId w:val="1006"/>
        </w:numPr>
      </w:pPr>
      <w:r>
        <w:t xml:space="preserve">требуется ли адаптация таблиц</w:t>
      </w:r>
      <w:r>
        <w:t xml:space="preserve"> </w:t>
      </w:r>
      <w:r>
        <w:rPr>
          <w:rStyle w:val="VerbatimChar"/>
        </w:rPr>
        <w:t xml:space="preserve">CALENDAR</w:t>
      </w:r>
      <w:r>
        <w:t xml:space="preserve">,</w:t>
      </w:r>
      <w:r>
        <w:t xml:space="preserve"> </w:t>
      </w:r>
      <w:r>
        <w:rPr>
          <w:rStyle w:val="VerbatimChar"/>
        </w:rPr>
        <w:t xml:space="preserve">UKT</w:t>
      </w:r>
      <w:r>
        <w:t xml:space="preserve"> </w:t>
      </w:r>
      <w:r>
        <w:t xml:space="preserve">и форматов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под локальные данные.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базы данных</dc:title>
  <dc:creator/>
  <cp:keywords/>
  <dcterms:created xsi:type="dcterms:W3CDTF">2026-08-31T23:16:42Z</dcterms:created>
  <dcterms:modified xsi:type="dcterms:W3CDTF">2026-08-31T23:16:42Z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