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правила заполнения рабочих листов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общие-правила-заполнения-рабочих-листов"/>
    <w:p>
      <w:pPr>
        <w:pStyle w:val="Heading1"/>
      </w:pPr>
      <w:r>
        <w:t xml:space="preserve">Общие правила заполнения рабочих листов</w:t>
      </w:r>
    </w:p>
    <w:p>
      <w:pPr>
        <w:pStyle w:val="FirstParagraph"/>
      </w:pPr>
      <w:r>
        <w:t xml:space="preserve">Общий порядок определения элементов библиографического описания и их представления в полях и подполях рабочих листов приближен к традиционной технологии составления библиографической записи на каталожной карточке.</w:t>
      </w:r>
    </w:p>
    <w:p>
      <w:pPr>
        <w:pStyle w:val="BodyText"/>
      </w:pPr>
      <w:r>
        <w:t xml:space="preserve">Эта страница описывает общие правила. Специфические рекомендации по отдельным полям и страницам РЛ переносятся в отдельные разделы методики.</w:t>
      </w:r>
    </w:p>
    <w:bookmarkStart w:id="9" w:name="пунктуация-и-разделители"/>
    <w:p>
      <w:pPr>
        <w:pStyle w:val="Heading2"/>
      </w:pPr>
      <w:r>
        <w:t xml:space="preserve">1. Пунктуация и разделители</w:t>
      </w:r>
    </w:p>
    <w:p>
      <w:pPr>
        <w:pStyle w:val="FirstParagraph"/>
      </w:pPr>
      <w:r>
        <w:t xml:space="preserve">При вводе элементов данных не нужно вручную ставить знаки препинания, которые в библиографическом описании отделяют области и элементы перед вводимым элементом. Эти знаки формируются форматами вывода и правилами представления записи.</w:t>
      </w:r>
    </w:p>
    <w:p>
      <w:pPr>
        <w:pStyle w:val="BodyText"/>
      </w:pPr>
      <w:r>
        <w:t xml:space="preserve">После знаков препинания, которые вводятся внутри значения, нужно ставить пробел. Это важно для корректного отображения записи в просмотре и выходных документах.</w:t>
      </w:r>
    </w:p>
    <w:p>
      <w:pPr>
        <w:pStyle w:val="BodyText"/>
      </w:pPr>
      <w:r>
        <w:t xml:space="preserve">Поля сложной структуры заполняются через вложенные рабочие листы. Если для поля предусмотрены расширенные средства ввода, открывайте их кнопкой с тремя точками или клавишей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BodyText"/>
      </w:pPr>
      <w:r>
        <w:t xml:space="preserve">Во вложенном РЛ данные сохраняются в основном поле как подполя с разделителями вида</w:t>
      </w:r>
      <w:r>
        <w:t xml:space="preserve"> </w:t>
      </w:r>
      <w:r>
        <w:rPr>
          <w:rStyle w:val="VerbatimChar"/>
        </w:rPr>
        <w:t xml:space="preserve">^a</w:t>
      </w:r>
      <w:r>
        <w:t xml:space="preserve">,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и т. п. Эти служебные разделители формируются автоматически при выходе из вложенного РЛ. Ручная корректировка такого поля допустима только при сохранении правильных разделителей подполей.</w:t>
      </w:r>
    </w:p>
    <w:bookmarkEnd w:id="9"/>
    <w:bookmarkStart w:id="10" w:name="повторяющиеся-поля"/>
    <w:p>
      <w:pPr>
        <w:pStyle w:val="Heading2"/>
      </w:pPr>
      <w:r>
        <w:t xml:space="preserve">2. Повторяющиеся поля</w:t>
      </w:r>
    </w:p>
    <w:p>
      <w:pPr>
        <w:pStyle w:val="FirstParagraph"/>
      </w:pPr>
      <w:r>
        <w:t xml:space="preserve">Некоторые данные вводятся в повторяющиеся поля: например, сведения о нескольких экземплярах. В рабочем листе повторяемость обычно обозначается признаком в колонке номера поля.</w:t>
      </w:r>
    </w:p>
    <w:p>
      <w:pPr>
        <w:pStyle w:val="BodyText"/>
      </w:pPr>
      <w:r>
        <w:t xml:space="preserve">Для добавления нового повторения выберите номер того появления поля, после которого нужно вставить новое значение.</w:t>
      </w:r>
    </w:p>
    <w:p>
      <w:pPr>
        <w:pStyle w:val="BodyText"/>
      </w:pPr>
      <w:r>
        <w:t xml:space="preserve">Повторяющиеся поля сложной структуры удобно редактировать в табличном виде. В таком режиме каждое повторение поля отображается строкой, а подполя - столбцами. Табличный режим позволяет быстрее удалять повторения и переносить одинаковые значения по столбцам.</w:t>
      </w:r>
    </w:p>
    <w:bookmarkEnd w:id="10"/>
    <w:bookmarkStart w:id="11" w:name="меню-словари-и-авторитетные-базы"/>
    <w:p>
      <w:pPr>
        <w:pStyle w:val="Heading2"/>
      </w:pPr>
      <w:r>
        <w:t xml:space="preserve">3. Меню, словари и авторитетные базы</w:t>
      </w:r>
    </w:p>
    <w:p>
      <w:pPr>
        <w:pStyle w:val="FirstParagraph"/>
      </w:pPr>
      <w:r>
        <w:t xml:space="preserve">Часть данных вводится с использованием меню, словаря текущей базы электронного каталога или авторитетных баз данных.</w:t>
      </w:r>
    </w:p>
    <w:p>
      <w:pPr>
        <w:pStyle w:val="BodyText"/>
      </w:pPr>
      <w:r>
        <w:t xml:space="preserve">Если для подполя предусмотрено меню или словарь, при установке курсора в это подполе доступны расширенные средства ввода. После выбора значения нажмите</w:t>
      </w:r>
      <w:r>
        <w:t xml:space="preserve"> </w:t>
      </w:r>
      <w:r>
        <w:rPr>
          <w:rStyle w:val="VerbatimChar"/>
        </w:rPr>
        <w:t xml:space="preserve">Ввод</w:t>
      </w:r>
      <w:r>
        <w:t xml:space="preserve"> </w:t>
      </w:r>
      <w:r>
        <w:t xml:space="preserve">или выполните двойной щелчок по нужному значению.</w:t>
      </w:r>
    </w:p>
    <w:p>
      <w:pPr>
        <w:pStyle w:val="BodyText"/>
      </w:pPr>
      <w:r>
        <w:t xml:space="preserve">Меню обычно используются для кодовой информации. В некоторых меню доступен быстрый поиск по ключу, часть меню имеет древовидную структуру.</w:t>
      </w:r>
    </w:p>
    <w:p>
      <w:pPr>
        <w:pStyle w:val="BodyText"/>
      </w:pPr>
      <w:r>
        <w:t xml:space="preserve">Словарь базы электронного каталога используется для выбора уже существующих терминов. В поле</w:t>
      </w:r>
      <w:r>
        <w:t xml:space="preserve"> </w:t>
      </w:r>
      <w:r>
        <w:rPr>
          <w:rStyle w:val="VerbatimChar"/>
        </w:rPr>
        <w:t xml:space="preserve">Ключ</w:t>
      </w:r>
      <w:r>
        <w:t xml:space="preserve"> </w:t>
      </w:r>
      <w:r>
        <w:t xml:space="preserve">можно вводить начальные буквы поискового термина для перехода к нужной части словаря.</w:t>
      </w:r>
    </w:p>
    <w:p>
      <w:pPr>
        <w:pStyle w:val="BodyText"/>
      </w:pPr>
      <w:r>
        <w:t xml:space="preserve">Авторитетные базы используются для нормируемых данных: авторов, коллективов, предметных рубрик и связанных терминов. При переносе данных из авторитетной записи в библиографическую запись может сохраняться номер записи авторитетной базы. Это обеспечивает связь между библиографическим описанием и авторитетной записью.</w:t>
      </w:r>
    </w:p>
    <w:p>
      <w:pPr>
        <w:pStyle w:val="BodyText"/>
      </w:pPr>
      <w:r>
        <w:t xml:space="preserve">ИРБИС предоставляет средства создания, ведения, импорта и использования авторитетных баз, но сами авторитетные базы являются отдельным информационным ресурсом организации.</w:t>
      </w:r>
    </w:p>
    <w:bookmarkEnd w:id="11"/>
    <w:bookmarkStart w:id="12" w:name="мультиввод"/>
    <w:p>
      <w:pPr>
        <w:pStyle w:val="Heading2"/>
      </w:pPr>
      <w:r>
        <w:t xml:space="preserve">4. Мультиввод</w:t>
      </w:r>
    </w:p>
    <w:p>
      <w:pPr>
        <w:pStyle w:val="FirstParagraph"/>
      </w:pPr>
      <w:r>
        <w:t xml:space="preserve">При вводе однотипных данных можно использовать режим мультиввода. Он позволяет за одно обращение к меню, словарю или авторитетной базе выбрать несколько значений и перенести их в рабочий лист.</w:t>
      </w:r>
    </w:p>
    <w:p>
      <w:pPr>
        <w:pStyle w:val="BodyText"/>
      </w:pPr>
      <w:r>
        <w:t xml:space="preserve">Для неповторяющегося поля система может автоматически поставить разделительные знаки между выбранными однотипными значениями.</w:t>
      </w:r>
    </w:p>
    <w:p>
      <w:pPr>
        <w:pStyle w:val="BodyText"/>
      </w:pPr>
      <w:r>
        <w:t xml:space="preserve">Для повторяющихся полей мультиввод удобнее выполнять в табличном режиме: каждое выбранное значение переносится в отдельное повторение поля, которое затем дополняется остальными элементами данных.</w:t>
      </w:r>
    </w:p>
    <w:bookmarkEnd w:id="12"/>
    <w:bookmarkStart w:id="14" w:name="копирование-похожих-записей"/>
    <w:p>
      <w:pPr>
        <w:pStyle w:val="Heading2"/>
      </w:pPr>
      <w:r>
        <w:t xml:space="preserve">5. Копирование похожих записей</w:t>
      </w:r>
    </w:p>
    <w:p>
      <w:pPr>
        <w:pStyle w:val="FirstParagraph"/>
      </w:pPr>
      <w:r>
        <w:t xml:space="preserve">При поступлении второго и последующих томов одного издания можно копировать ранее введённый документ и затем корректировать скопированную запись. Такой подход уменьшает повторный ввод и снижает риск расхождений между связанными описаниями.</w:t>
      </w:r>
    </w:p>
    <w:p>
      <w:pPr>
        <w:pStyle w:val="BodyText"/>
      </w:pPr>
      <w:r>
        <w:t xml:space="preserve">Для практического сценария см.</w:t>
      </w:r>
      <w:r>
        <w:t xml:space="preserve"> </w:t>
      </w:r>
      <w:hyperlink r:id="rId13">
        <w:r>
          <w:rPr>
            <w:rStyle w:val="Hyperlink"/>
          </w:rPr>
          <w:t xml:space="preserve">создание записи на основе выбранной</w:t>
        </w:r>
      </w:hyperlink>
      <w:r>
        <w:t xml:space="preserve">.</w:t>
      </w:r>
    </w:p>
    <w:bookmarkEnd w:id="14"/>
    <w:bookmarkStart w:id="15" w:name="разметка-заглавий"/>
    <w:p>
      <w:pPr>
        <w:pStyle w:val="Heading2"/>
      </w:pPr>
      <w:r>
        <w:t xml:space="preserve">6. Разметка заглавий</w:t>
      </w:r>
    </w:p>
    <w:p>
      <w:pPr>
        <w:pStyle w:val="FirstParagraph"/>
      </w:pPr>
      <w:r>
        <w:t xml:space="preserve">Разметка заглавий используется для корректного формирования авторского знака и сортировки в выходных таблицах.</w:t>
      </w:r>
    </w:p>
    <w:p>
      <w:pPr>
        <w:pStyle w:val="BodyText"/>
      </w:pPr>
      <w:r>
        <w:t xml:space="preserve">Текст в угловых скобках исключается из сортировки, но печатается без символов разметки. Это можно применять, например, для артиклей в заглавиях иностранных изданий.</w:t>
      </w:r>
    </w:p>
    <w:p>
      <w:pPr>
        <w:pStyle w:val="BodyText"/>
      </w:pPr>
      <w:r>
        <w:t xml:space="preserve">Разметка вида</w:t>
      </w:r>
      <w:r>
        <w:t xml:space="preserve"> </w:t>
      </w:r>
      <w:r>
        <w:rPr>
          <w:rStyle w:val="VerbatimChar"/>
        </w:rPr>
        <w:t xml:space="preserve">&lt;исходный текст=текст для сортировки&gt;</w:t>
      </w:r>
      <w:r>
        <w:t xml:space="preserve"> </w:t>
      </w:r>
      <w:r>
        <w:t xml:space="preserve">позволяет задать значение, которое будет использоваться для авторского знака или начального элемента сортировки.</w:t>
      </w:r>
    </w:p>
    <w:p>
      <w:pPr>
        <w:pStyle w:val="BodyText"/>
      </w:pPr>
      <w:r>
        <w:t xml:space="preserve">Примеры: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Исходное заглавие</w:t>
            </w:r>
          </w:p>
        </w:tc>
        <w:tc>
          <w:tcPr/>
          <w:p>
            <w:pPr>
              <w:pStyle w:val="Compact"/>
            </w:pPr>
            <w:r>
              <w:t xml:space="preserve">Разметка</w:t>
            </w:r>
          </w:p>
        </w:tc>
        <w:tc>
          <w:tcPr/>
          <w:p>
            <w:pPr>
              <w:pStyle w:val="Compact"/>
            </w:pPr>
            <w:r>
              <w:t xml:space="preserve">Что используется для сортировки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&lt;1000=тысяча&gt;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тысяча и одна ночь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Антон Павлович Чехов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&lt;Антон Павлович Чехов=Чехов Антон Павлович&gt;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Чехов Антон Павлович</w:t>
            </w:r>
          </w:p>
        </w:tc>
      </w:tr>
    </w:tbl>
    <w:p>
      <w:pPr>
        <w:pStyle w:val="BodyText"/>
      </w:pPr>
      <w:r>
        <w:t xml:space="preserve">Аналогичная разметка может применяться и в других полях, например при вводе разделов и статей в оглавлении.</w:t>
      </w:r>
    </w:p>
    <w:bookmarkEnd w:id="15"/>
    <w:bookmarkStart w:id="16" w:name="сверка-на-дублетность"/>
    <w:p>
      <w:pPr>
        <w:pStyle w:val="Heading2"/>
      </w:pPr>
      <w:r>
        <w:t xml:space="preserve">7. Сверка на дублетность</w:t>
      </w:r>
    </w:p>
    <w:p>
      <w:pPr>
        <w:pStyle w:val="FirstParagraph"/>
      </w:pPr>
      <w:r>
        <w:t xml:space="preserve">Для проверки дублетности система использует набор значимых элементов библиографического описания. Состав этих элементов зависит от вида описания и выбранного рабочего листа.</w:t>
      </w:r>
    </w:p>
    <w:p>
      <w:pPr>
        <w:pStyle w:val="BodyText"/>
      </w:pPr>
      <w:r>
        <w:t xml:space="preserve">В исходной методике описан алгоритм автоматической свёртки текста: из текста выбираются символы слов, начиная с последних слов, пока не будет получена строка сравнения. В современных настройках конкретная реализация сверки должна проверяться по текущим форматам контроля и рабочим листам.</w:t>
      </w:r>
    </w:p>
    <w:p>
      <w:pPr>
        <w:pStyle w:val="BodyText"/>
      </w:pPr>
      <w:r>
        <w:t xml:space="preserve">Обычно в сверку включаются:</w:t>
      </w:r>
    </w:p>
    <w:p>
      <w:pPr>
        <w:pStyle w:val="Compact"/>
        <w:numPr>
          <w:ilvl w:val="0"/>
          <w:numId w:val="1001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1"/>
        </w:numPr>
      </w:pPr>
      <w:r>
        <w:t xml:space="preserve">библиографические элементы, зависящие от вида описания;</w:t>
      </w:r>
    </w:p>
    <w:p>
      <w:pPr>
        <w:pStyle w:val="Compact"/>
        <w:numPr>
          <w:ilvl w:val="0"/>
          <w:numId w:val="1001"/>
        </w:numPr>
      </w:pPr>
      <w:r>
        <w:t xml:space="preserve">объём документа или другая единица измерения;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идентификаторы, например ISBN или идентификационный номер нетекстового материала.</w:t>
      </w:r>
    </w:p>
    <w:p>
      <w:pPr>
        <w:pStyle w:val="FirstParagraph"/>
      </w:pPr>
      <w:r>
        <w:t xml:space="preserve">Если система обнаруживает дублетную запись, новая запись не должна сохраняться как самостоятельная. Нужно найти существующий документ и корректировать его по результатам поиска или по известному MFN.</w:t>
      </w:r>
    </w:p>
    <w:p>
      <w:pPr>
        <w:pStyle w:val="BodyText"/>
      </w:pPr>
      <w:r>
        <w:t xml:space="preserve">Если необходимо ввести другую запись на месте обнаруженной дублетной, измените или удалите значение в поле, на котором сработала проверка, очистите введённые данные и продолжите ввод другой записи.</w:t>
      </w:r>
    </w:p>
    <w:bookmarkEnd w:id="16"/>
    <w:bookmarkStart w:id="17" w:name="сокращения-по-гост"/>
    <w:p>
      <w:pPr>
        <w:pStyle w:val="Heading2"/>
      </w:pPr>
      <w:r>
        <w:t xml:space="preserve">8. Сокращения по ГОСТ</w:t>
      </w:r>
    </w:p>
    <w:p>
      <w:pPr>
        <w:pStyle w:val="FirstParagraph"/>
      </w:pPr>
      <w:r>
        <w:t xml:space="preserve">При вводе сокращений слов на русском языке может использоваться справочник сокращений по ГОСТ 7.12-93. В исходной методике указан файл</w:t>
      </w:r>
      <w:r>
        <w:t xml:space="preserve"> </w:t>
      </w:r>
      <w:r>
        <w:rPr>
          <w:rStyle w:val="VerbatimChar"/>
        </w:rPr>
        <w:t xml:space="preserve">GOS71293.MNU</w:t>
      </w:r>
      <w:r>
        <w:t xml:space="preserve">.</w:t>
      </w:r>
    </w:p>
    <w:p>
      <w:pPr>
        <w:pStyle w:val="BodyText"/>
      </w:pPr>
      <w:r>
        <w:t xml:space="preserve">Перед использованием справочника нужно проверить, что файл присутствует в текущей поставке и подключён к рабочим листам или интерфейсу ввода.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ataloguer/Help/CataloguerGuide/CopyRecor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ataloguer/Help/CataloguerGuide/CopyRecor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правила заполнения рабочих листов</dc:title>
  <dc:creator/>
  <cp:keywords/>
  <dcterms:created xsi:type="dcterms:W3CDTF">2026-08-31T11:15:17Z</dcterms:created>
  <dcterms:modified xsi:type="dcterms:W3CDTF">2026-08-31T11:15:17Z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