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[I128-1917] Добавлена возможность использования переменных окружения уровня приложения в языке форматирования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40ffbac42314e78b5b8549bf5d044fcfc1d3e"/>
    <w:p>
      <w:pPr>
        <w:pStyle w:val="Heading1"/>
      </w:pPr>
      <w:r>
        <w:t xml:space="preserve">[I128-1917] Добавлена возможность использования переменных окружения уровня приложения в языке форматирования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12:38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18"/>
    <w:p>
      <w:pPr>
        <w:pStyle w:val="Heading3"/>
      </w:pPr>
      <w:r>
        <w:t xml:space="preserve">1.1. 🔗 Соответствует задача: I128-1918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[I128-1918]</w:t>
        </w:r>
      </w:hyperlink>
      <w:r>
        <w:t xml:space="preserve"> </w:t>
      </w:r>
      <w:r>
        <w:t xml:space="preserve">Возможность использования Переменные окружения уровня приложения в языке форматирования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[I128-1917] Добавлена возможность использования переменных окружения уровня приложения в языке форматирования ирбис</dc:title>
  <dc:creator/>
  <cp:keywords/>
  <dcterms:created xsi:type="dcterms:W3CDTF">2026-10-15T13:10:40Z</dcterms:created>
  <dcterms:modified xsi:type="dcterms:W3CDTF">2026-10-15T13:10:40Z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