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[I128-2145] Изменен способ показа авторитетной записи на стандартный в зависимости от рабочего листа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e6bb2d65d0b207cb2940c1cbe77d13b7f52f6d"/>
    <w:p>
      <w:pPr>
        <w:pStyle w:val="Heading1"/>
      </w:pPr>
      <w:r>
        <w:t xml:space="preserve">[I128-2145] Изменен способ показа авторитетной записи на стандартный в зависимости от рабочего листа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23.02.2026 13:58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0"/>
    <w:p>
      <w:pPr>
        <w:pStyle w:val="Heading3"/>
      </w:pPr>
      <w:r>
        <w:t xml:space="preserve">1.1. 🔗 Соответствует задача: I128-2200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[I128-2200]</w:t>
        </w:r>
      </w:hyperlink>
      <w:r>
        <w:t xml:space="preserve"> </w:t>
      </w:r>
      <w:r>
        <w:t xml:space="preserve">Изменен способ показа авторитетной записи на стандартный в зависимости от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[I128-2145] Изменен способ показа авторитетной записи на стандартный в зависимости от рабочего листа</dc:title>
  <dc:creator/>
  <cp:keywords/>
  <dcterms:created xsi:type="dcterms:W3CDTF">2026-10-15T22:30:52Z</dcterms:created>
  <dcterms:modified xsi:type="dcterms:W3CDTF">2026-10-15T22:30:52Z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