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3.png" ContentType="image/png"/>
  <Override PartName="/word/media/rId47.png" ContentType="image/png"/>
  <Override PartName="/word/media/rId9.png" ContentType="image/png"/>
  <Override PartName="/word/media/rId13.png" ContentType="image/png"/>
  <Override PartName="/word/media/rId21.png" ContentType="image/png"/>
  <Override PartName="/word/media/rId55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6" w:name="документация"/>
    <w:p>
      <w:pPr>
        <w:pStyle w:val="Heading1"/>
      </w:pPr>
      <w:r>
        <w:t xml:space="preserve">Документация</w:t>
      </w:r>
    </w:p>
    <w:bookmarkStart w:id="64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28" w:name="проверка-фонда"/>
    <w:p>
      <w:pPr>
        <w:pStyle w:val="Heading3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4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5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5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4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5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4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4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4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bookmarkStart w:id="42" w:name="работа-с-ксу-и-связанными-записями"/>
    <w:p>
      <w:pPr>
        <w:pStyle w:val="Heading3"/>
      </w:pPr>
      <w:r>
        <w:t xml:space="preserve">Работа с КСУ и связанными записями</w:t>
      </w:r>
    </w:p>
    <w:p>
      <w:pPr>
        <w:pStyle w:val="FirstParagraph"/>
      </w:pPr>
      <w:r>
        <w:t xml:space="preserve">АРМ «Комплектатор» используется не только для проверки фонда. В рабочем окне модуля также доступны операции с записями комплектования: пополнение КСУ, переход от КСУ к связанным библиографическим записям, выбор печатных форм, смена этапа работы и выбор базы для заимствования данных.</w:t>
      </w:r>
    </w:p>
    <w:p>
      <w:pPr>
        <w:pStyle w:val="BodyText"/>
      </w:pPr>
      <w:r>
        <w:t xml:space="preserve">Перед началом работы должен быть выбран профиль Комплектатора. Если профиль не выбран или был удален, система перенаправляет пользователя на страницу выбора профиля. В профиле задаются БД по умолчанию, БД комплектования, доступные режимы и параметры поиска записей КСУ.</w:t>
      </w:r>
    </w:p>
    <w:bookmarkStart w:id="32" w:name="выбор-рабочей-базы-и-этапа"/>
    <w:p>
      <w:pPr>
        <w:pStyle w:val="Heading4"/>
      </w:pPr>
      <w:r>
        <w:t xml:space="preserve">1. Выбор рабочей базы и этапа</w:t>
      </w:r>
    </w:p>
    <w:p>
      <w:pPr>
        <w:pStyle w:val="FirstParagraph"/>
      </w:pPr>
      <w:r>
        <w:t xml:space="preserve">В верхней панели рабочего окна отображаются:</w:t>
      </w:r>
    </w:p>
    <w:p>
      <w:pPr>
        <w:pStyle w:val="Compact"/>
        <w:numPr>
          <w:ilvl w:val="0"/>
          <w:numId w:val="1006"/>
        </w:numPr>
      </w:pPr>
      <w:r>
        <w:t xml:space="preserve">текущая база данных;</w:t>
      </w:r>
    </w:p>
    <w:p>
      <w:pPr>
        <w:pStyle w:val="Compact"/>
        <w:numPr>
          <w:ilvl w:val="0"/>
          <w:numId w:val="1006"/>
        </w:numPr>
      </w:pPr>
      <w:r>
        <w:t xml:space="preserve">текущий этап работы;</w:t>
      </w:r>
    </w:p>
    <w:p>
      <w:pPr>
        <w:pStyle w:val="Compact"/>
        <w:numPr>
          <w:ilvl w:val="0"/>
          <w:numId w:val="1006"/>
        </w:numPr>
      </w:pPr>
      <w:r>
        <w:t xml:space="preserve">при включенной настройке - выбор базы ЭКП для заимствования данных;</w:t>
      </w:r>
    </w:p>
    <w:p>
      <w:pPr>
        <w:pStyle w:val="Compact"/>
        <w:numPr>
          <w:ilvl w:val="0"/>
          <w:numId w:val="1006"/>
        </w:numPr>
      </w:pPr>
      <w:r>
        <w:t xml:space="preserve">кнопка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для завершения текущего сеанса.</w:t>
      </w:r>
    </w:p>
    <w:p>
      <w:pPr>
        <w:pStyle w:val="FirstParagraph"/>
      </w:pPr>
      <w:r>
        <w:t xml:space="preserve">Выбранный профиль пользователя и команда</w:t>
      </w:r>
      <w:r>
        <w:t xml:space="preserve"> </w:t>
      </w:r>
      <w:r>
        <w:rPr>
          <w:rStyle w:val="VerbatimChar"/>
        </w:rPr>
        <w:t xml:space="preserve">Сменить профиль</w:t>
      </w:r>
      <w:r>
        <w:t xml:space="preserve"> </w:t>
      </w:r>
      <w:r>
        <w:t xml:space="preserve">отображаются в нижней панели рабочего окна. После смены профиля Комплектатор перечитывает настройки пользователя: рабочие базы, доступные режимы, параметры поиска КСУ и набор операций. Нижнее расположение профиля не мешает кнопке</w:t>
      </w:r>
      <w:r>
        <w:t xml:space="preserve"> </w:t>
      </w:r>
      <w:r>
        <w:rPr>
          <w:rStyle w:val="VerbatimChar"/>
        </w:rPr>
        <w:t xml:space="preserve">Выход</w:t>
      </w:r>
      <w:r>
        <w:t xml:space="preserve"> </w:t>
      </w:r>
      <w:r>
        <w:t xml:space="preserve">в верхней панели, даже если название профиля длинное или в браузере увеличен размер текста.</w:t>
      </w:r>
    </w:p>
    <w:p>
      <w:pPr>
        <w:pStyle w:val="CaptionedFigure"/>
      </w:pPr>
      <w:r>
        <w:drawing>
          <wp:inline>
            <wp:extent cx="5334000" cy="3001107"/>
            <wp:effectExtent b="0" l="0" r="0" t="0"/>
            <wp:docPr descr="Рисунок 1 - Кнопка выхода и нижняя панель профиля в АРМ Комплектатор" title="Кнопка выхода и нижняя панель профиля в АРМ Комплектатор" id="30" name="Picture"/>
            <a:graphic>
              <a:graphicData uri="http://schemas.openxmlformats.org/drawingml/2006/picture">
                <pic:pic>
                  <pic:nvPicPr>
                    <pic:cNvPr descr="modules/Complectator/Help/UserGuide/img/complectator-profile-panels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11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выхода и нижняя панель профиля в АРМ Комплектатор</w:t>
      </w:r>
    </w:p>
    <w:p>
      <w:pPr>
        <w:pStyle w:val="BodyText"/>
      </w:pPr>
      <w:r>
        <w:t xml:space="preserve">При смене этапа система сохраняет выбранный этап для текущего пользователя. Этап влияет на дальнейшую работу с записями и используется как рабочий контекст Комплектатора.</w:t>
      </w:r>
    </w:p>
    <w:bookmarkEnd w:id="32"/>
    <w:bookmarkStart w:id="33" w:name="пополнение-записи-ксу"/>
    <w:p>
      <w:pPr>
        <w:pStyle w:val="Heading4"/>
      </w:pPr>
      <w:r>
        <w:t xml:space="preserve">2. Пополнение записи КСУ</w:t>
      </w:r>
    </w:p>
    <w:p>
      <w:pPr>
        <w:pStyle w:val="FirstParagraph"/>
      </w:pPr>
      <w:r>
        <w:t xml:space="preserve">Операция пополнения КСУ запускается для выбранных записей. Система открывает окно выбора базы и затем выполняет действие</w:t>
      </w:r>
      <w:r>
        <w:t xml:space="preserve"> </w:t>
      </w:r>
      <w:r>
        <w:rPr>
          <w:rStyle w:val="VerbatimChar"/>
        </w:rPr>
        <w:t xml:space="preserve">Complectator/FillUpKsu</w:t>
      </w:r>
      <w:r>
        <w:t xml:space="preserve">.</w:t>
      </w:r>
    </w:p>
    <w:p>
      <w:pPr>
        <w:pStyle w:val="BodyText"/>
      </w:pPr>
      <w:r>
        <w:t xml:space="preserve">В зависимости от типа текущей записи и настроек профиля пополняются:</w:t>
      </w:r>
    </w:p>
    <w:p>
      <w:pPr>
        <w:pStyle w:val="Compact"/>
        <w:numPr>
          <w:ilvl w:val="0"/>
          <w:numId w:val="1007"/>
        </w:numPr>
      </w:pPr>
      <w:r>
        <w:t xml:space="preserve">запись КСУ поступления;</w:t>
      </w:r>
    </w:p>
    <w:p>
      <w:pPr>
        <w:pStyle w:val="Compact"/>
        <w:numPr>
          <w:ilvl w:val="0"/>
          <w:numId w:val="1007"/>
        </w:numPr>
      </w:pPr>
      <w:r>
        <w:t xml:space="preserve">запись КСУ выбытия;</w:t>
      </w:r>
    </w:p>
    <w:p>
      <w:pPr>
        <w:pStyle w:val="Compact"/>
        <w:numPr>
          <w:ilvl w:val="0"/>
          <w:numId w:val="1007"/>
        </w:numPr>
      </w:pPr>
      <w:r>
        <w:t xml:space="preserve">итоговая запись заказа;</w:t>
      </w:r>
    </w:p>
    <w:p>
      <w:pPr>
        <w:pStyle w:val="Compact"/>
        <w:numPr>
          <w:ilvl w:val="0"/>
          <w:numId w:val="1007"/>
        </w:numPr>
      </w:pPr>
      <w:r>
        <w:t xml:space="preserve">итоговые записи КСУ за период.</w:t>
      </w:r>
    </w:p>
    <w:p>
      <w:pPr>
        <w:pStyle w:val="FirstParagraph"/>
      </w:pPr>
      <w:r>
        <w:t xml:space="preserve">Система использует настроенные префиксы поиска и таблицы FST. Для базы комплектования обычно применяются префиксы</w:t>
      </w:r>
      <w:r>
        <w:t xml:space="preserve"> </w:t>
      </w:r>
      <w:r>
        <w:rPr>
          <w:rStyle w:val="VerbatimChar"/>
        </w:rPr>
        <w:t xml:space="preserve">KSU=</w:t>
      </w:r>
      <w:r>
        <w:t xml:space="preserve">,</w:t>
      </w:r>
      <w:r>
        <w:t xml:space="preserve"> </w:t>
      </w:r>
      <w:r>
        <w:rPr>
          <w:rStyle w:val="VerbatimChar"/>
        </w:rPr>
        <w:t xml:space="preserve">NKSUK=</w:t>
      </w:r>
      <w:r>
        <w:t xml:space="preserve">,</w:t>
      </w:r>
      <w:r>
        <w:t xml:space="preserve"> </w:t>
      </w:r>
      <w:r>
        <w:rPr>
          <w:rStyle w:val="VerbatimChar"/>
        </w:rPr>
        <w:t xml:space="preserve">KS2=</w:t>
      </w:r>
      <w:r>
        <w:t xml:space="preserve">,</w:t>
      </w:r>
      <w:r>
        <w:t xml:space="preserve"> </w:t>
      </w:r>
      <w:r>
        <w:rPr>
          <w:rStyle w:val="VerbatimChar"/>
        </w:rPr>
        <w:t xml:space="preserve">SZ=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SZK=</w:t>
      </w:r>
      <w:r>
        <w:t xml:space="preserve">; для каталожных баз используются отдельные префиксы, заданные в профиле. Если запись или связанная партия не найдена, необходимо проверить номер КСУ, выбранную базу и настройки профиля.</w:t>
      </w:r>
    </w:p>
    <w:bookmarkEnd w:id="33"/>
    <w:bookmarkStart w:id="34" w:name="переход-к-связанным-записям"/>
    <w:p>
      <w:pPr>
        <w:pStyle w:val="Heading4"/>
      </w:pPr>
      <w:r>
        <w:t xml:space="preserve">3. Переход к связанным записям</w:t>
      </w:r>
    </w:p>
    <w:p>
      <w:pPr>
        <w:pStyle w:val="FirstParagraph"/>
      </w:pPr>
      <w:r>
        <w:t xml:space="preserve">Операция</w:t>
      </w:r>
      <w:r>
        <w:t xml:space="preserve"> </w:t>
      </w:r>
      <w:r>
        <w:rPr>
          <w:rStyle w:val="VerbatimChar"/>
        </w:rPr>
        <w:t xml:space="preserve">Переход от КСУ к связанным записям</w:t>
      </w:r>
      <w:r>
        <w:t xml:space="preserve"> </w:t>
      </w:r>
      <w:r>
        <w:t xml:space="preserve">помогает быстро найти записи, связанные с текущей записью КСУ или библиографическим описанием. Она запускает действие</w:t>
      </w:r>
      <w:r>
        <w:t xml:space="preserve"> </w:t>
      </w:r>
      <w:r>
        <w:rPr>
          <w:rStyle w:val="VerbatimChar"/>
        </w:rPr>
        <w:t xml:space="preserve">Complectator/KsuToBook</w:t>
      </w:r>
      <w:r>
        <w:t xml:space="preserve">.</w:t>
      </w:r>
    </w:p>
    <w:p>
      <w:pPr>
        <w:pStyle w:val="BodyText"/>
      </w:pPr>
      <w:r>
        <w:t xml:space="preserve">Возможные переходы:</w:t>
      </w:r>
    </w:p>
    <w:p>
      <w:pPr>
        <w:pStyle w:val="Compact"/>
        <w:numPr>
          <w:ilvl w:val="0"/>
          <w:numId w:val="1008"/>
        </w:numPr>
      </w:pPr>
      <w:r>
        <w:t xml:space="preserve">от КСУ поступления к библиографическим записям с этим номером КСУ;</w:t>
      </w:r>
    </w:p>
    <w:p>
      <w:pPr>
        <w:pStyle w:val="Compact"/>
        <w:numPr>
          <w:ilvl w:val="0"/>
          <w:numId w:val="1008"/>
        </w:numPr>
      </w:pPr>
      <w:r>
        <w:t xml:space="preserve">от КСУ выбытия к библиографическим записям и экземплярам выбытия;</w:t>
      </w:r>
    </w:p>
    <w:p>
      <w:pPr>
        <w:pStyle w:val="Compact"/>
        <w:numPr>
          <w:ilvl w:val="0"/>
          <w:numId w:val="1008"/>
        </w:numPr>
      </w:pPr>
      <w:r>
        <w:t xml:space="preserve">от итоговой КСУ к записям КСУ поступления и выбытия за период;</w:t>
      </w:r>
    </w:p>
    <w:p>
      <w:pPr>
        <w:pStyle w:val="Compact"/>
        <w:numPr>
          <w:ilvl w:val="0"/>
          <w:numId w:val="1008"/>
        </w:numPr>
      </w:pPr>
      <w:r>
        <w:t xml:space="preserve">от суммарного заказа к связанным библиографическим записям и записям заказа;</w:t>
      </w:r>
    </w:p>
    <w:p>
      <w:pPr>
        <w:pStyle w:val="Compact"/>
        <w:numPr>
          <w:ilvl w:val="0"/>
          <w:numId w:val="1008"/>
        </w:numPr>
      </w:pPr>
      <w:r>
        <w:t xml:space="preserve">от библиографической записи к соответствующим КСУ поступления, выбытия или заказа.</w:t>
      </w:r>
    </w:p>
    <w:p>
      <w:pPr>
        <w:pStyle w:val="FirstParagraph"/>
      </w:pPr>
      <w:r>
        <w:t xml:space="preserve">Результат открывается как список найденных записей. Если список пуст, сначала проверяют корректность номера КСУ в текущей записи и соответствие выбранной базы профилю Комплектатора.</w:t>
      </w:r>
    </w:p>
    <w:bookmarkEnd w:id="34"/>
    <w:bookmarkStart w:id="35" w:name="печатные-формы"/>
    <w:p>
      <w:pPr>
        <w:pStyle w:val="Heading4"/>
      </w:pPr>
      <w:r>
        <w:t xml:space="preserve">4. Печатные формы</w:t>
      </w:r>
    </w:p>
    <w:p>
      <w:pPr>
        <w:pStyle w:val="FirstParagraph"/>
      </w:pPr>
      <w:r>
        <w:t xml:space="preserve">В списке записей АРМа «Комплектатор» доступны стандартные команды печати списков и таблиц, а также команда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. Она предназначена для специальных печатных форм комплектатора и открывает окно выбора формы для текущей рабочей базы.</w:t>
      </w:r>
    </w:p>
    <w:p>
      <w:pPr>
        <w:pStyle w:val="BodyText"/>
      </w:pPr>
      <w:r>
        <w:t xml:space="preserve">Состав дерева форм формирует действие</w:t>
      </w:r>
      <w:r>
        <w:t xml:space="preserve"> </w:t>
      </w:r>
      <w:r>
        <w:rPr>
          <w:rStyle w:val="VerbatimChar"/>
        </w:rPr>
        <w:t xml:space="preserve">Complectator/GetPrintWindow</w:t>
      </w:r>
      <w:r>
        <w:t xml:space="preserve">. В первом уровне доступны группы: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Поступление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Заказ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Выбытие</w:t>
      </w:r>
      <w:r>
        <w:t xml:space="preserve">.</w:t>
      </w:r>
    </w:p>
    <w:p>
      <w:pPr>
        <w:pStyle w:val="FirstParagraph"/>
      </w:pPr>
      <w:r>
        <w:t xml:space="preserve">Список конкретных форм в каждой группе загружается из MNU-справочников, заданных в настройках профиля. Для базы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используются параметры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; для других баз -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.</w:t>
      </w:r>
    </w:p>
    <w:p>
      <w:pPr>
        <w:pStyle w:val="BodyText"/>
      </w:pPr>
      <w:r>
        <w:t xml:space="preserve">После выбора формы система обращается к действию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Оно читает файл описания выходных форм из параметра профиля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 </w:t>
      </w:r>
      <w:r>
        <w:t xml:space="preserve">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 в базе комплектования. В этом файле определяется сценарий печати: простая форма, форма по отмеченным записям, форма с опросным листом или форма с отбором по диапазону дат.</w:t>
      </w:r>
    </w:p>
    <w:p>
      <w:pPr>
        <w:pStyle w:val="BodyText"/>
      </w:pPr>
      <w:r>
        <w:t xml:space="preserve">При запуске формы пользователь выбирает, какие записи обрабатывать:</w:t>
      </w:r>
    </w:p>
    <w:p>
      <w:pPr>
        <w:pStyle w:val="Compact"/>
        <w:numPr>
          <w:ilvl w:val="0"/>
          <w:numId w:val="1010"/>
        </w:numPr>
      </w:pPr>
      <w:r>
        <w:t xml:space="preserve">отмеченные записи;</w:t>
      </w:r>
    </w:p>
    <w:p>
      <w:pPr>
        <w:pStyle w:val="Compact"/>
        <w:numPr>
          <w:ilvl w:val="0"/>
          <w:numId w:val="1010"/>
        </w:numPr>
      </w:pPr>
      <w:r>
        <w:t xml:space="preserve">записи, кроме отмеченных на текущей странице;</w:t>
      </w:r>
    </w:p>
    <w:p>
      <w:pPr>
        <w:pStyle w:val="Compact"/>
        <w:numPr>
          <w:ilvl w:val="0"/>
          <w:numId w:val="1010"/>
        </w:numPr>
      </w:pPr>
      <w:r>
        <w:t xml:space="preserve">все записи текущего результата поиска.</w:t>
      </w:r>
    </w:p>
    <w:p>
      <w:pPr>
        <w:pStyle w:val="FirstParagraph"/>
      </w:pPr>
      <w:r>
        <w:t xml:space="preserve">Если форма относится к сценарию по отмеченным записям, перед запуском нужно отметить нужные записи в списке. Если форма использует опросный лист или диапазон дат, система дополнительно показывает поля ввода, определенные в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.</w:t>
      </w:r>
    </w:p>
    <w:p>
      <w:pPr>
        <w:pStyle w:val="BodyText"/>
      </w:pPr>
      <w:r>
        <w:t xml:space="preserve">Если нужной формы нет в списке или она открывается с ошибкой, администратор должен проверить параметры</w:t>
      </w:r>
      <w:r>
        <w:t xml:space="preserve"> </w:t>
      </w:r>
      <w:r>
        <w:rPr>
          <w:rStyle w:val="VerbatimChar"/>
        </w:rPr>
        <w:t xml:space="preserve">FileSelTab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TabMnuForR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TabMnuForCat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TabMnuForSCMPL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TabMnuForZ</w:t>
      </w:r>
      <w:r>
        <w:t xml:space="preserve">, а также наличие соответствующих MNU-справочников и табличных форм в выбранной базе.</w:t>
      </w:r>
    </w:p>
    <w:bookmarkEnd w:id="35"/>
    <w:bookmarkStart w:id="36" w:name="выбор-базы-экп"/>
    <w:p>
      <w:pPr>
        <w:pStyle w:val="Heading4"/>
      </w:pPr>
      <w:r>
        <w:t xml:space="preserve">5. Выбор базы ЭКП</w:t>
      </w:r>
    </w:p>
    <w:p>
      <w:pPr>
        <w:pStyle w:val="FirstParagraph"/>
      </w:pPr>
      <w:r>
        <w:t xml:space="preserve">Если в профиле включен блок ЭКП, на панели отображается команда выбора базы для заимствования данных. Список доступных баз формируется действием</w:t>
      </w:r>
      <w:r>
        <w:t xml:space="preserve"> </w:t>
      </w:r>
      <w:r>
        <w:rPr>
          <w:rStyle w:val="VerbatimChar"/>
        </w:rPr>
        <w:t xml:space="preserve">Complectator/GetEkp</w:t>
      </w:r>
      <w:r>
        <w:t xml:space="preserve">, выбранное значение сохраняется действием</w:t>
      </w:r>
      <w:r>
        <w:t xml:space="preserve"> </w:t>
      </w:r>
      <w:r>
        <w:rPr>
          <w:rStyle w:val="VerbatimChar"/>
        </w:rPr>
        <w:t xml:space="preserve">Complectator/SetEkp</w:t>
      </w:r>
      <w:r>
        <w:t xml:space="preserve">.</w:t>
      </w:r>
    </w:p>
    <w:p>
      <w:pPr>
        <w:pStyle w:val="BodyText"/>
      </w:pPr>
      <w:r>
        <w:t xml:space="preserve">Эта настройка влияет на дальнейшее заимствование данных, но не заменяет выбор основной рабочей базы Комплектатора.</w:t>
      </w:r>
    </w:p>
    <w:bookmarkEnd w:id="36"/>
    <w:bookmarkStart w:id="41" w:name="связанные-разделы-1"/>
    <w:p>
      <w:pPr>
        <w:pStyle w:val="Heading4"/>
      </w:pPr>
      <w:r>
        <w:t xml:space="preserve">6. Связанные разделы</w:t>
      </w:r>
    </w:p>
    <w:p>
      <w:pPr>
        <w:pStyle w:val="Compact"/>
        <w:numPr>
          <w:ilvl w:val="0"/>
          <w:numId w:val="1011"/>
        </w:numPr>
      </w:pPr>
      <w:r>
        <w:t xml:space="preserve">Настройки баз данных и режимов описаны в разделе (разд.</w:t>
      </w:r>
      <w:r>
        <w:t xml:space="preserve"> </w:t>
      </w:r>
      <w:r>
        <w:t xml:space="preserve">“</w:t>
      </w:r>
      <w:hyperlink r:id="rId37">
        <w:r>
          <w:rPr>
            <w:rStyle w:val="Hyperlink"/>
          </w:rPr>
          <w:t xml:space="preserve">Настройка БД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поступления описаны в разделе (разд.</w:t>
      </w:r>
      <w:r>
        <w:t xml:space="preserve"> </w:t>
      </w:r>
      <w:r>
        <w:t xml:space="preserve">“</w:t>
      </w:r>
      <w:hyperlink r:id="rId38">
        <w:r>
          <w:rPr>
            <w:rStyle w:val="Hyperlink"/>
          </w:rPr>
          <w:t xml:space="preserve">Настройка режима поступления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выбытия описаны в разделе (разд.</w:t>
      </w:r>
      <w:r>
        <w:t xml:space="preserve"> </w:t>
      </w:r>
      <w:r>
        <w:t xml:space="preserve">“</w:t>
      </w:r>
      <w:hyperlink r:id="rId39">
        <w:r>
          <w:rPr>
            <w:rStyle w:val="Hyperlink"/>
          </w:rPr>
          <w:t xml:space="preserve">Настройка режима выбытия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t xml:space="preserve">Настройки режима заказа описаны в разделе (разд.</w:t>
      </w:r>
      <w:r>
        <w:t xml:space="preserve"> </w:t>
      </w:r>
      <w:r>
        <w:t xml:space="preserve">“</w:t>
      </w:r>
      <w:hyperlink r:id="rId40">
        <w:r>
          <w:rPr>
            <w:rStyle w:val="Hyperlink"/>
          </w:rPr>
          <w:t xml:space="preserve">Настройка режима заказа</w:t>
        </w:r>
      </w:hyperlink>
      <w:r>
        <w:t xml:space="preserve">”</w:t>
      </w:r>
      <w:r>
        <w:t xml:space="preserve">).</w:t>
      </w:r>
    </w:p>
    <w:bookmarkEnd w:id="41"/>
    <w:bookmarkEnd w:id="42"/>
    <w:bookmarkStart w:id="54" w:name="архив-проверок-фонда"/>
    <w:p>
      <w:pPr>
        <w:pStyle w:val="Heading3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53" w:name="основные-элементы-интерфейса"/>
    <w:p>
      <w:pPr>
        <w:pStyle w:val="Heading4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4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46" w:name="фильтрация-и-поиск"/>
    <w:p>
      <w:pPr>
        <w:pStyle w:val="Heading5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46"/>
    <w:bookmarkStart w:id="50" w:name="список-проверок"/>
    <w:p>
      <w:pPr>
        <w:pStyle w:val="Heading5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48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49" name="Picture"/>
                    <pic:cNvPicPr>
                      <a:picLocks noChangeArrowheads="1" noChangeAspect="1"/>
                    </pic:cNvPicPr>
                  </pic:nvPicPr>
                  <pic:blipFill>
                    <a:blip r:embed="rId4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50"/>
    <w:bookmarkStart w:id="51" w:name="действия-с-записями"/>
    <w:p>
      <w:pPr>
        <w:pStyle w:val="Heading5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14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51"/>
    <w:bookmarkStart w:id="52" w:name="навигация-по-страницам"/>
    <w:p>
      <w:pPr>
        <w:pStyle w:val="Heading5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52"/>
    <w:bookmarkEnd w:id="53"/>
    <w:bookmarkEnd w:id="54"/>
    <w:bookmarkStart w:id="63" w:name="отчет-о-проверке-фонда"/>
    <w:p>
      <w:pPr>
        <w:pStyle w:val="Heading3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56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58" w:name="формирование-отчета"/>
    <w:p>
      <w:pPr>
        <w:pStyle w:val="Heading4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58"/>
    <w:bookmarkStart w:id="61" w:name="результаты-отчета"/>
    <w:p>
      <w:pPr>
        <w:pStyle w:val="Heading4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59" w:name="обнаруженные-проблемы"/>
    <w:p>
      <w:pPr>
        <w:pStyle w:val="Heading5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59"/>
    <w:bookmarkStart w:id="60" w:name="найденные-проверенные"/>
    <w:p>
      <w:pPr>
        <w:pStyle w:val="Heading5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60"/>
    <w:bookmarkEnd w:id="61"/>
    <w:bookmarkStart w:id="62" w:name="экспорт-в-csv"/>
    <w:p>
      <w:pPr>
        <w:pStyle w:val="Heading4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62"/>
    <w:bookmarkEnd w:id="63"/>
    <w:bookmarkEnd w:id="64"/>
    <w:bookmarkStart w:id="11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В данном руководстве описаны параметры настройки модуля «АРМ Комплектатор», доступные в АРМ «Администратор» (на вкладке «Настройки модуля»).</w:t>
      </w:r>
    </w:p>
    <w:p>
      <w:pPr>
        <w:pStyle w:val="BodyText"/>
      </w:pPr>
      <w:r>
        <w:t xml:space="preserve">Настройки сгруппированы по функциональным блокам, соответствующим основным режимам работы комплектатора:</w:t>
      </w:r>
    </w:p>
    <w:bookmarkStart w:id="70" w:name="настройка-бд"/>
    <w:p>
      <w:pPr>
        <w:pStyle w:val="Heading3"/>
      </w:pPr>
      <w:r>
        <w:t xml:space="preserve">Настройка БД</w:t>
      </w:r>
    </w:p>
    <w:p>
      <w:pPr>
        <w:pStyle w:val="FirstParagraph"/>
      </w:pPr>
      <w:r>
        <w:t xml:space="preserve">В этом разделе задаются основные базы данных и файлы меню/форматов, используемые модулем.</w:t>
      </w:r>
    </w:p>
    <w:bookmarkStart w:id="65" w:name="имя-бд-по-умолчанию-defaultdb"/>
    <w:p>
      <w:pPr>
        <w:pStyle w:val="Heading4"/>
      </w:pPr>
      <w:r>
        <w:t xml:space="preserve">1. Имя БД по умолчанию (</w:t>
      </w:r>
      <w:r>
        <w:rPr>
          <w:rStyle w:val="VerbatimChar"/>
        </w:rPr>
        <w:t xml:space="preserve">defaultdb</w:t>
      </w:r>
      <w:r>
        <w:t xml:space="preserve">)</w:t>
      </w:r>
    </w:p>
    <w:p>
      <w:pPr>
        <w:pStyle w:val="FirstParagraph"/>
      </w:pPr>
      <w:r>
        <w:t xml:space="preserve">База данных, к которой модуль обращается по умолчанию (изначальное значение берется из глобальной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используется как резервная БД для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 Кроме того,</w:t>
      </w:r>
      <w:r>
        <w:t xml:space="preserve"> </w:t>
      </w:r>
      <w:r>
        <w:rPr>
          <w:b/>
          <w:bCs/>
        </w:rPr>
        <w:t xml:space="preserve">всегда</w:t>
      </w:r>
      <w:r>
        <w:t xml:space="preserve"> </w:t>
      </w:r>
      <w:r>
        <w:t xml:space="preserve">используется для получения словаря мест хранения (</w:t>
      </w:r>
      <w:r>
        <w:rPr>
          <w:rStyle w:val="VerbatimChar"/>
        </w:rPr>
        <w:t xml:space="preserve">mhr.mnu</w:t>
      </w:r>
      <w:r>
        <w:t xml:space="preserve">) для выпадающего списка в классической форме ввода.</w:t>
      </w:r>
    </w:p>
    <w:p>
      <w:pPr>
        <w:pStyle w:val="Compact"/>
        <w:numPr>
          <w:ilvl w:val="1"/>
          <w:numId w:val="1018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для получения словаря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и поиска, если не задан параметр</w:t>
      </w:r>
      <w:r>
        <w:t xml:space="preserve"> </w:t>
      </w:r>
      <w:r>
        <w:rPr>
          <w:rStyle w:val="VerbatimChar"/>
        </w:rPr>
        <w:t xml:space="preserve">checkFondDatabases</w:t>
      </w:r>
      <w:r>
        <w:t xml:space="preserve">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определяет базу данных, которая будет загружена при старте АРМ Комплектатор по умолчанию (передается как</w:t>
      </w:r>
      <w:r>
        <w:t xml:space="preserve"> </w:t>
      </w:r>
      <w:r>
        <w:rPr>
          <w:rStyle w:val="VerbatimChar"/>
        </w:rPr>
        <w:t xml:space="preserve">irbDb</w:t>
      </w:r>
      <w:r>
        <w:t xml:space="preserve">), а также используется для загрузки словаря этапов работы (</w:t>
      </w:r>
      <w:r>
        <w:rPr>
          <w:rStyle w:val="VerbatimChar"/>
        </w:rPr>
        <w:t xml:space="preserve">etr.mnu</w:t>
      </w:r>
      <w:r>
        <w:t xml:space="preserve">).</w:t>
      </w:r>
    </w:p>
    <w:p>
      <w:pPr>
        <w:pStyle w:val="Compact"/>
        <w:numPr>
          <w:ilvl w:val="1"/>
          <w:numId w:val="101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GetEkp</w:t>
      </w:r>
      <w:r>
        <w:t xml:space="preserve"> </w:t>
      </w:r>
      <w:r>
        <w:t xml:space="preserve">— использует переданную при старте АРМа БД по умолчанию (</w:t>
      </w:r>
      <w:r>
        <w:rPr>
          <w:rStyle w:val="VerbatimChar"/>
        </w:rPr>
        <w:t xml:space="preserve">irbDb</w:t>
      </w:r>
      <w:r>
        <w:t xml:space="preserve">) для загрузки справочника</w:t>
      </w:r>
      <w:r>
        <w:t xml:space="preserve"> </w:t>
      </w:r>
      <w:r>
        <w:rPr>
          <w:rStyle w:val="VerbatimChar"/>
        </w:rPr>
        <w:t xml:space="preserve">DBNAM2.MNU</w:t>
      </w:r>
      <w:r>
        <w:t xml:space="preserve">, который формирует пункты меню кнопки «Выбрать БД для заимствования данных».</w:t>
      </w:r>
    </w:p>
    <w:bookmarkEnd w:id="65"/>
    <w:bookmarkStart w:id="66" w:name="имя-бд-комплектования-cmpldbn"/>
    <w:p>
      <w:pPr>
        <w:pStyle w:val="Heading4"/>
      </w:pPr>
      <w:r>
        <w:t xml:space="preserve">2. Имя БД комплектования (</w:t>
      </w:r>
      <w:r>
        <w:rPr>
          <w:rStyle w:val="VerbatimChar"/>
        </w:rPr>
        <w:t xml:space="preserve">cmpldbn</w:t>
      </w:r>
      <w:r>
        <w:t xml:space="preserve">)</w:t>
      </w:r>
    </w:p>
    <w:p>
      <w:pPr>
        <w:pStyle w:val="FirstParagraph"/>
      </w:pPr>
      <w:r>
        <w:t xml:space="preserve">База данных, используемая непосредственно для задач комплектования (обычно совпадает с БД по умолчанию, начальное значение также берется из системной переменной</w:t>
      </w:r>
      <w:r>
        <w:t xml:space="preserve"> </w:t>
      </w:r>
      <w:r>
        <w:rPr>
          <w:rStyle w:val="VerbatimChar"/>
        </w:rPr>
        <w:t xml:space="preserve">DBCMPL</w:t>
      </w:r>
      <w:r>
        <w:t xml:space="preserve">).</w:t>
      </w:r>
    </w:p>
    <w:p>
      <w:pPr>
        <w:pStyle w:val="Compact"/>
        <w:numPr>
          <w:ilvl w:val="0"/>
          <w:numId w:val="101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</w:t>
      </w:r>
      <w:r>
        <w:t xml:space="preserve"> </w:t>
      </w:r>
      <w:r>
        <w:t xml:space="preserve">— передается в клиентский интерфейс как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и устанавливается как выбранная по умолчанию БД в выпадающем списке баз данных на главной панели.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по умолчанию, если не выбраны другие БД. Кроме того, параметр работает как переключатель логики поиска: если обрабатываемая БД совпадает с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, система ищет записи по префиксам базы комплектования (</w:t>
      </w:r>
      <w:r>
        <w:rPr>
          <w:rStyle w:val="VerbatimChar"/>
        </w:rPr>
        <w:t xml:space="preserve">PrefKsuCmpl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PrefKsuP</w:t>
      </w:r>
      <w:r>
        <w:t xml:space="preserve"> </w:t>
      </w:r>
      <w:r>
        <w:t xml:space="preserve">и др.), если нет — используются префиксы электронного каталога (</w:t>
      </w:r>
      <w:r>
        <w:rPr>
          <w:rStyle w:val="VerbatimChar"/>
        </w:rPr>
        <w:t xml:space="preserve">PrefKsuCat</w:t>
      </w:r>
      <w:r>
        <w:t xml:space="preserve">,</w:t>
      </w:r>
      <w:r>
        <w:t xml:space="preserve"> </w:t>
      </w:r>
      <w:r>
        <w:rPr>
          <w:rStyle w:val="VerbatimChar"/>
        </w:rPr>
        <w:t xml:space="preserve">PrefKsuS</w:t>
      </w:r>
      <w:r>
        <w:t xml:space="preserve">).</w:t>
      </w:r>
    </w:p>
    <w:p>
      <w:pPr>
        <w:pStyle w:val="Compact"/>
        <w:numPr>
          <w:ilvl w:val="1"/>
          <w:numId w:val="102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используется как резервная БД для поиска связанных записей (если список баз не был задан явно или не найден в поле 21).</w:t>
      </w:r>
    </w:p>
    <w:p>
      <w:pPr>
        <w:pStyle w:val="Compact"/>
        <w:numPr>
          <w:ilvl w:val="1"/>
          <w:numId w:val="1020"/>
        </w:numPr>
      </w:pPr>
      <w:r>
        <w:t xml:space="preserve">Экшены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используется для получения структуры доступных файлов и меню. Обратите внимание, что клиентский скрипт всегда передает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 </w:t>
      </w:r>
      <w:r>
        <w:t xml:space="preserve">в 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в качестве БД для чтения пополняемой записи, независимо от того, какая БД открыта в интерфейсе.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Хотя настройка позволяет задать произвольное имя базы комплектования, в некоторых системных скриптах (например,</w:t>
      </w:r>
      <w:r>
        <w:t xml:space="preserve"> </w:t>
      </w:r>
      <w:r>
        <w:rPr>
          <w:rStyle w:val="VerbatimChar"/>
        </w:rPr>
        <w:t xml:space="preserve">KsuToBook.inc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GetPrintWindow.inc</w:t>
      </w:r>
      <w:r>
        <w:t xml:space="preserve">) присутствует жесткая проверка на совпадение с именем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(вместо переменной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). Если базу переименовать, могут возникнуть ошибки с загрузкой нужных списков печатных форм и переходом по связям заказов. Рекомендуется оставлять имя базы комплектования равным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</w:t>
      </w:r>
      <w:r>
        <w:t xml:space="preserve"> </w:t>
      </w:r>
      <w:r>
        <w:t xml:space="preserve">@@@</w:t>
      </w:r>
    </w:p>
    <w:bookmarkEnd w:id="66"/>
    <w:bookmarkStart w:id="67" w:name="X378772c8d59c639a7beb2142c8d09e56c26fd46"/>
    <w:p>
      <w:pPr>
        <w:pStyle w:val="Heading4"/>
      </w:pPr>
      <w:r>
        <w:t xml:space="preserve">3. Имя файла описания выходных форм (</w:t>
      </w:r>
      <w:r>
        <w:rPr>
          <w:rStyle w:val="VerbatimChar"/>
        </w:rPr>
        <w:t xml:space="preserve">FileSelTab</w:t>
      </w:r>
      <w:r>
        <w:t xml:space="preserve">)</w:t>
      </w:r>
    </w:p>
    <w:p>
      <w:pPr>
        <w:pStyle w:val="FirstParagraph"/>
      </w:pPr>
      <w:r>
        <w:t xml:space="preserve">Имя файла описания выходных форм (по умолчанию</w:t>
      </w:r>
      <w:r>
        <w:t xml:space="preserve"> </w:t>
      </w:r>
      <w:r>
        <w:rPr>
          <w:rStyle w:val="VerbatimChar"/>
        </w:rPr>
        <w:t xml:space="preserve">seltab64.par</w:t>
      </w:r>
      <w:r>
        <w:t xml:space="preserve">).</w:t>
      </w:r>
    </w:p>
    <w:p>
      <w:pPr>
        <w:pStyle w:val="Compact"/>
        <w:numPr>
          <w:ilvl w:val="0"/>
          <w:numId w:val="102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Команду</w:t>
      </w:r>
      <w:r>
        <w:t xml:space="preserve"> </w:t>
      </w:r>
      <w:r>
        <w:rPr>
          <w:b/>
          <w:bCs/>
        </w:rPr>
        <w:t xml:space="preserve">Выходные формы</w:t>
      </w:r>
      <w:r>
        <w:t xml:space="preserve"> </w:t>
      </w:r>
      <w:r>
        <w:t xml:space="preserve">в списке записей АРМа «Комплектатор» и действие</w:t>
      </w:r>
      <w:r>
        <w:t xml:space="preserve"> </w:t>
      </w:r>
      <w:r>
        <w:rPr>
          <w:rStyle w:val="VerbatimChar"/>
        </w:rPr>
        <w:t xml:space="preserve">TabForms/Seltab64</w:t>
      </w:r>
      <w:r>
        <w:t xml:space="preserve">. Файл читается из базы комплектования и задает сценарии специальных печатных форм: форму с опросным листом, форму по отмеченным записям, форму с отбором по диапазону дат или простую выходную форму. Если файл не найден или в нем нет выбранной формы, окно печати не сможет подготовить параметры вывода.</w:t>
      </w:r>
    </w:p>
    <w:bookmarkEnd w:id="67"/>
    <w:bookmarkStart w:id="68" w:name="имя-файла-бд-каталога-dbname3"/>
    <w:p>
      <w:pPr>
        <w:pStyle w:val="Heading4"/>
      </w:pPr>
      <w:r>
        <w:t xml:space="preserve">4. Имя файла БД каталога (</w:t>
      </w:r>
      <w:r>
        <w:rPr>
          <w:rStyle w:val="VerbatimChar"/>
        </w:rPr>
        <w:t xml:space="preserve">Dbname3</w:t>
      </w:r>
      <w:r>
        <w:t xml:space="preserve">)</w:t>
      </w:r>
    </w:p>
    <w:p>
      <w:pPr>
        <w:pStyle w:val="FirstParagraph"/>
      </w:pPr>
      <w:r>
        <w:t xml:space="preserve">Имя файла-справочника баз данных каталога (по умолчанию</w:t>
      </w:r>
      <w:r>
        <w:t xml:space="preserve"> </w:t>
      </w:r>
      <w:r>
        <w:rPr>
          <w:rStyle w:val="VerbatimChar"/>
        </w:rPr>
        <w:t xml:space="preserve">dbnam3.mnu</w:t>
      </w:r>
      <w:r>
        <w:t xml:space="preserve">).</w:t>
      </w:r>
    </w:p>
    <w:p>
      <w:pPr>
        <w:pStyle w:val="Compact"/>
        <w:numPr>
          <w:ilvl w:val="0"/>
          <w:numId w:val="102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чтение списка доступных БД, по которым будет выполняться сбор статистики. Если ни одна БД из справочника не была отмечена пользователем, статистика собирается по базе</w:t>
      </w:r>
      <w:r>
        <w:t xml:space="preserve"> </w:t>
      </w:r>
      <w:r>
        <w:rPr>
          <w:rStyle w:val="VerbatimChar"/>
        </w:rPr>
        <w:t xml:space="preserve">cmpldbn</w:t>
      </w:r>
      <w:r>
        <w:t xml:space="preserve">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GetFillUpKsuWindow</w:t>
      </w:r>
      <w:r>
        <w:t xml:space="preserve"> </w:t>
      </w:r>
      <w:r>
        <w:t xml:space="preserve">— формирование чекбоксов для выбора баз данных в интерфейсе.</w:t>
      </w:r>
    </w:p>
    <w:p>
      <w:pPr>
        <w:pStyle w:val="Compact"/>
        <w:numPr>
          <w:ilvl w:val="1"/>
          <w:numId w:val="102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получение списка БД для формирования связи. Если в записи заказа/КСУ отсутствует поле 21 (список баз данных), система проверяет, были ли переданы из интерфейса базы, перечисленные в этом справочнике.</w:t>
      </w:r>
    </w:p>
    <w:bookmarkEnd w:id="68"/>
    <w:bookmarkStart w:id="69" w:name="X2a65b0b395c80dc9856ebaa08f6be3e89c9263f"/>
    <w:p>
      <w:pPr>
        <w:pStyle w:val="Heading4"/>
      </w:pPr>
      <w:r>
        <w:t xml:space="preserve">5. Имя файла глобальной корректировки (</w:t>
      </w:r>
      <w:r>
        <w:rPr>
          <w:rStyle w:val="VerbatimChar"/>
        </w:rPr>
        <w:t xml:space="preserve">StatKsuGbl</w:t>
      </w:r>
      <w:r>
        <w:t xml:space="preserve">)</w:t>
      </w:r>
    </w:p>
    <w:p>
      <w:pPr>
        <w:pStyle w:val="FirstParagraph"/>
      </w:pPr>
      <w:r>
        <w:t xml:space="preserve">Имя файла глобальной корректировки, выполняющейся перед пополнением КСУ и суммарного заказа (по умолчанию</w:t>
      </w:r>
      <w:r>
        <w:t xml:space="preserve"> </w:t>
      </w:r>
      <w:r>
        <w:rPr>
          <w:rStyle w:val="VerbatimChar"/>
        </w:rPr>
        <w:t xml:space="preserve">StatKsu.Gbl</w:t>
      </w:r>
      <w:r>
        <w:t xml:space="preserve">).</w:t>
      </w:r>
    </w:p>
    <w:p>
      <w:pPr>
        <w:pStyle w:val="Compact"/>
        <w:numPr>
          <w:ilvl w:val="0"/>
          <w:numId w:val="102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Процессы запуска глобальных корректировок перед подведением итогов поступлений.</w:t>
      </w:r>
    </w:p>
    <w:bookmarkEnd w:id="69"/>
    <w:bookmarkEnd w:id="70"/>
    <w:bookmarkStart w:id="77" w:name="настройка-режима-поступления"/>
    <w:p>
      <w:pPr>
        <w:pStyle w:val="Heading3"/>
      </w:pPr>
      <w:r>
        <w:t xml:space="preserve">Настройка режима поступления</w:t>
      </w:r>
    </w:p>
    <w:p>
      <w:pPr>
        <w:pStyle w:val="FirstParagraph"/>
      </w:pPr>
      <w:r>
        <w:t xml:space="preserve">Определяет параметры поиска и пополнения для КСУ поступления.</w:t>
      </w:r>
    </w:p>
    <w:bookmarkStart w:id="71" w:name="Xf6b30bcd14b9fcd69aae075d8e482ca7a472b1d"/>
    <w:p>
      <w:pPr>
        <w:pStyle w:val="Heading4"/>
      </w:pPr>
      <w:r>
        <w:t xml:space="preserve">1. Префикс для поиска записей КСУ поступления в БД CMPL (</w:t>
      </w:r>
      <w:r>
        <w:rPr>
          <w:rStyle w:val="VerbatimChar"/>
        </w:rPr>
        <w:t xml:space="preserve">PrefKsuCmpl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поступлений в базе комплектования.</w:t>
      </w:r>
    </w:p>
    <w:p>
      <w:pPr>
        <w:pStyle w:val="Compact"/>
        <w:numPr>
          <w:ilvl w:val="0"/>
          <w:numId w:val="1025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итоговой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KSFP</w:t>
      </w:r>
      <w:r>
        <w:t xml:space="preserve">), для подсчета суммарных значений.</w:t>
      </w:r>
    </w:p>
    <w:p>
      <w:pPr>
        <w:pStyle w:val="Compact"/>
        <w:numPr>
          <w:ilvl w:val="1"/>
          <w:numId w:val="1026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поиск и отображение связанных записей КСУ поступления (переход по связи).</w:t>
      </w:r>
    </w:p>
    <w:bookmarkEnd w:id="71"/>
    <w:bookmarkStart w:id="72" w:name="X92efbfc830dce20024b52710270eeb64ae44783"/>
    <w:p>
      <w:pPr>
        <w:pStyle w:val="Heading4"/>
      </w:pPr>
      <w:r>
        <w:t xml:space="preserve">2. Префикс для поиска записей из CMPL соответствующих заданному КСУ поступления (</w:t>
      </w:r>
      <w:r>
        <w:rPr>
          <w:rStyle w:val="VerbatimChar"/>
        </w:rPr>
        <w:t xml:space="preserve">PrefKsuP</w:t>
      </w:r>
      <w:r>
        <w:t xml:space="preserve">)</w:t>
      </w:r>
    </w:p>
    <w:p>
      <w:pPr>
        <w:pStyle w:val="FirstParagraph"/>
      </w:pPr>
      <w:r>
        <w:t xml:space="preserve">Префикс для поиска отдельных поступлений в базе комплектования.</w:t>
      </w:r>
    </w:p>
    <w:p>
      <w:pPr>
        <w:pStyle w:val="Compact"/>
        <w:numPr>
          <w:ilvl w:val="0"/>
          <w:numId w:val="1027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записей, связанных с КСУ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), если обновление идет в БД CMPL.</w:t>
      </w:r>
    </w:p>
    <w:p>
      <w:pPr>
        <w:pStyle w:val="Compact"/>
        <w:numPr>
          <w:ilvl w:val="1"/>
          <w:numId w:val="1028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поискового запроса для связи, если выбрана БД CMPL.</w:t>
      </w:r>
    </w:p>
    <w:bookmarkEnd w:id="72"/>
    <w:bookmarkStart w:id="73" w:name="Xac46c469567e0fe160f95d0ab73b326d2000b2c"/>
    <w:p>
      <w:pPr>
        <w:pStyle w:val="Heading4"/>
      </w:pPr>
      <w:r>
        <w:t xml:space="preserve">3. Префикс для поиска записей из ЭК соответствующих заданному КСУ поступления (</w:t>
      </w:r>
      <w:r>
        <w:rPr>
          <w:rStyle w:val="VerbatimChar"/>
        </w:rPr>
        <w:t xml:space="preserve">PrefKsuCat</w:t>
      </w:r>
      <w:r>
        <w:t xml:space="preserve">)</w:t>
      </w:r>
    </w:p>
    <w:p>
      <w:pPr>
        <w:pStyle w:val="FirstParagraph"/>
      </w:pPr>
      <w:r>
        <w:t xml:space="preserve">Префикс для поиска записей в электронном каталоге, привязанных к КСУ поступления.</w:t>
      </w:r>
    </w:p>
    <w:p>
      <w:pPr>
        <w:pStyle w:val="Compact"/>
        <w:numPr>
          <w:ilvl w:val="0"/>
          <w:numId w:val="102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для поиска экземпляров поступления (тип</w:t>
      </w:r>
      <w:r>
        <w:t xml:space="preserve"> </w:t>
      </w:r>
      <w:r>
        <w:rPr>
          <w:rStyle w:val="VerbatimChar"/>
        </w:rPr>
        <w:t xml:space="preserve">KSU</w:t>
      </w:r>
      <w:r>
        <w:t xml:space="preserve">) в БД электронного каталога при пересчете КСУ.</w:t>
      </w:r>
    </w:p>
    <w:p>
      <w:pPr>
        <w:pStyle w:val="Compact"/>
        <w:numPr>
          <w:ilvl w:val="1"/>
          <w:numId w:val="103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переход по связи из записи КСУ к библиографическим записям в электронном каталоге.</w:t>
      </w:r>
    </w:p>
    <w:bookmarkEnd w:id="73"/>
    <w:bookmarkStart w:id="74" w:name="Xac4452239e92b948b2c3ff1cd376e9747ed1332"/>
    <w:p>
      <w:pPr>
        <w:pStyle w:val="Heading4"/>
      </w:pPr>
      <w:r>
        <w:t xml:space="preserve">4. Таблица при пополнении записи КСУ поступления (</w:t>
      </w:r>
      <w:r>
        <w:rPr>
          <w:rStyle w:val="VerbatimChar"/>
        </w:rPr>
        <w:t xml:space="preserve">KsuFst1</w:t>
      </w:r>
      <w:r>
        <w:t xml:space="preserve">)</w:t>
      </w:r>
    </w:p>
    <w:p>
      <w:pPr>
        <w:pStyle w:val="FirstParagraph"/>
      </w:pPr>
      <w:r>
        <w:t xml:space="preserve">Имя FST-файла с алгоритмами для пополнения записи КСУ поступления.</w:t>
      </w:r>
    </w:p>
    <w:p>
      <w:pPr>
        <w:pStyle w:val="Compact"/>
        <w:numPr>
          <w:ilvl w:val="0"/>
          <w:numId w:val="103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к записям типа</w:t>
      </w:r>
      <w:r>
        <w:t xml:space="preserve"> </w:t>
      </w:r>
      <w:r>
        <w:rPr>
          <w:rStyle w:val="VerbatimChar"/>
        </w:rPr>
        <w:t xml:space="preserve">KSU</w:t>
      </w:r>
      <w:r>
        <w:t xml:space="preserve"> </w:t>
      </w:r>
      <w:r>
        <w:t xml:space="preserve">для подсчета сумм, количеств и других показателей.</w:t>
      </w:r>
    </w:p>
    <w:bookmarkEnd w:id="74"/>
    <w:bookmarkStart w:id="75" w:name="X0b7d1f4f60901149711945a078c039ace037596"/>
    <w:p>
      <w:pPr>
        <w:pStyle w:val="Heading4"/>
      </w:pPr>
      <w:r>
        <w:t xml:space="preserve">5. Имя списка табличных форм в режиме поступления БД CMPL (</w:t>
      </w:r>
      <w:r>
        <w:rPr>
          <w:rStyle w:val="VerbatimChar"/>
        </w:rPr>
        <w:t xml:space="preserve">TabMnuForR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tabprw.mnu</w:t>
      </w:r>
      <w:r>
        <w:t xml:space="preserve">), содержащего список печатных форм поступлений.</w:t>
      </w:r>
    </w:p>
    <w:p>
      <w:pPr>
        <w:pStyle w:val="Compact"/>
        <w:numPr>
          <w:ilvl w:val="0"/>
          <w:numId w:val="103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CMPL.</w:t>
      </w:r>
    </w:p>
    <w:bookmarkEnd w:id="75"/>
    <w:bookmarkStart w:id="76" w:name="X6d20bb25ca3e9a5f96ada9e85ee1552949dfe73"/>
    <w:p>
      <w:pPr>
        <w:pStyle w:val="Heading4"/>
      </w:pPr>
      <w:r>
        <w:t xml:space="preserve">6. Имя списка табличных форм в режиме поступления для БД каталога (</w:t>
      </w:r>
      <w:r>
        <w:rPr>
          <w:rStyle w:val="VerbatimChar"/>
        </w:rPr>
        <w:t xml:space="preserve">TabMnuForCat</w:t>
      </w:r>
      <w:r>
        <w:t xml:space="preserve">)</w:t>
      </w:r>
    </w:p>
    <w:p>
      <w:pPr>
        <w:pStyle w:val="FirstParagraph"/>
      </w:pPr>
      <w:r>
        <w:t xml:space="preserve">Имя справочника (например,</w:t>
      </w:r>
      <w:r>
        <w:t xml:space="preserve"> </w:t>
      </w:r>
      <w:r>
        <w:rPr>
          <w:rStyle w:val="VerbatimChar"/>
        </w:rPr>
        <w:t xml:space="preserve">tabpw.mnu</w:t>
      </w:r>
      <w:r>
        <w:t xml:space="preserve">), содержащего список печатных форм для электронного каталога.</w:t>
      </w:r>
    </w:p>
    <w:p>
      <w:pPr>
        <w:pStyle w:val="Compact"/>
        <w:numPr>
          <w:ilvl w:val="0"/>
          <w:numId w:val="103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формирование списка выходных форм в узле</w:t>
      </w:r>
      <w:r>
        <w:t xml:space="preserve"> </w:t>
      </w:r>
      <w:r>
        <w:t xml:space="preserve">“Поступление”</w:t>
      </w:r>
      <w:r>
        <w:t xml:space="preserve">, когда выбрана база отличная от CMPL.</w:t>
      </w:r>
    </w:p>
    <w:bookmarkEnd w:id="76"/>
    <w:bookmarkEnd w:id="77"/>
    <w:bookmarkStart w:id="83" w:name="настройка-режима-выбытия"/>
    <w:p>
      <w:pPr>
        <w:pStyle w:val="Heading3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78" w:name="Xa6f44d8de174d26d8babcc0cef73ddb2de682ed"/>
    <w:p>
      <w:pPr>
        <w:pStyle w:val="Heading4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34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35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78"/>
    <w:bookmarkStart w:id="79" w:name="Xea3c57e8ac68a9e0c588a0634ec077b3f783e73"/>
    <w:p>
      <w:pPr>
        <w:pStyle w:val="Heading4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3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3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79"/>
    <w:bookmarkStart w:id="80" w:name="Xe6b0cf1a47a11836db75dade258bb814b444473"/>
    <w:p>
      <w:pPr>
        <w:pStyle w:val="Heading4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3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80"/>
    <w:bookmarkStart w:id="81" w:name="X77bb45ddba75e1dffff337f0b06dfb4648c3f96"/>
    <w:p>
      <w:pPr>
        <w:pStyle w:val="Heading4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39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81"/>
    <w:bookmarkStart w:id="82" w:name="Xa0e8bae4452d5750e46e96ab88a617dd43a8bea"/>
    <w:p>
      <w:pPr>
        <w:pStyle w:val="Heading4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40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82"/>
    <w:bookmarkEnd w:id="83"/>
    <w:bookmarkStart w:id="88" w:name="настройка-режима-заказа"/>
    <w:p>
      <w:pPr>
        <w:pStyle w:val="Heading3"/>
      </w:pPr>
      <w:r>
        <w:t xml:space="preserve">Настройка режима заказа</w:t>
      </w:r>
    </w:p>
    <w:p>
      <w:pPr>
        <w:pStyle w:val="FirstParagraph"/>
      </w:pPr>
      <w:r>
        <w:t xml:space="preserve">Управление параметрами работы с заказами на новые издания.</w:t>
      </w:r>
    </w:p>
    <w:bookmarkStart w:id="84" w:name="X73f6393ece3900a75e6a72bdc656c99ac295045"/>
    <w:p>
      <w:pPr>
        <w:pStyle w:val="Heading4"/>
      </w:pPr>
      <w:r>
        <w:t xml:space="preserve">1. Префикс для поиска итоговой записи заказа в БД CMPL (</w:t>
      </w:r>
      <w:r>
        <w:rPr>
          <w:rStyle w:val="VerbatimChar"/>
        </w:rPr>
        <w:t xml:space="preserve">PrefSumZak</w:t>
      </w:r>
      <w:r>
        <w:t xml:space="preserve">)</w:t>
      </w:r>
    </w:p>
    <w:p>
      <w:pPr>
        <w:pStyle w:val="FirstParagraph"/>
      </w:pPr>
      <w:r>
        <w:t xml:space="preserve">Префикс для поиска итоговой записи заказа в базе комплектования.</w:t>
      </w:r>
    </w:p>
    <w:p>
      <w:pPr>
        <w:pStyle w:val="Compact"/>
        <w:numPr>
          <w:ilvl w:val="0"/>
          <w:numId w:val="1041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поисковых запросов для поиска связанных записей суммарного заказа.</w:t>
      </w:r>
    </w:p>
    <w:bookmarkEnd w:id="84"/>
    <w:bookmarkStart w:id="85" w:name="Xd773baba0c285e9e620cbbc59a6f55ca0870c38"/>
    <w:p>
      <w:pPr>
        <w:pStyle w:val="Heading4"/>
      </w:pPr>
      <w:r>
        <w:t xml:space="preserve">2. Префикс для поиска записей заказа для пополнения итоговой записи заказа (</w:t>
      </w:r>
      <w:r>
        <w:rPr>
          <w:rStyle w:val="VerbatimChar"/>
        </w:rPr>
        <w:t xml:space="preserve">PrefKsuZ</w:t>
      </w:r>
      <w:r>
        <w:t xml:space="preserve">)</w:t>
      </w:r>
    </w:p>
    <w:p>
      <w:pPr>
        <w:pStyle w:val="FirstParagraph"/>
      </w:pPr>
      <w:r>
        <w:t xml:space="preserve">Префикс для отбора записей, которые будут использоваться при пересчете и пополнении суммарного заказа.</w:t>
      </w:r>
    </w:p>
    <w:p>
      <w:pPr>
        <w:pStyle w:val="Compact"/>
        <w:numPr>
          <w:ilvl w:val="0"/>
          <w:numId w:val="1042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записей для пополнения итоговой записи заказа (если тип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).</w:t>
      </w:r>
    </w:p>
    <w:p>
      <w:pPr>
        <w:pStyle w:val="Compact"/>
        <w:numPr>
          <w:ilvl w:val="1"/>
          <w:numId w:val="1043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формирование связи и перехода к записям заказов.</w:t>
      </w:r>
    </w:p>
    <w:bookmarkEnd w:id="85"/>
    <w:bookmarkStart w:id="86" w:name="Xb336ae8bdd0a776f18f0f33d2cb45a358dec668"/>
    <w:p>
      <w:pPr>
        <w:pStyle w:val="Heading4"/>
      </w:pPr>
      <w:r>
        <w:t xml:space="preserve">3. Таблица при пополнении итоговой записи заказа (</w:t>
      </w:r>
      <w:r>
        <w:rPr>
          <w:rStyle w:val="VerbatimChar"/>
        </w:rPr>
        <w:t xml:space="preserve">KsuFst4</w:t>
      </w:r>
      <w:r>
        <w:t xml:space="preserve">)</w:t>
      </w:r>
    </w:p>
    <w:p>
      <w:pPr>
        <w:pStyle w:val="FirstParagraph"/>
      </w:pPr>
      <w:r>
        <w:t xml:space="preserve">Имя FST-файла, который используется для вычисления значений при пополнении суммарного заказа.</w:t>
      </w:r>
    </w:p>
    <w:p>
      <w:pPr>
        <w:pStyle w:val="Compact"/>
        <w:numPr>
          <w:ilvl w:val="0"/>
          <w:numId w:val="104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загрузка правил пересчета (форматов) из данного FST файла для типа записи</w:t>
      </w:r>
      <w:r>
        <w:t xml:space="preserve"> </w:t>
      </w:r>
      <w:r>
        <w:rPr>
          <w:rStyle w:val="VerbatimChar"/>
        </w:rPr>
        <w:t xml:space="preserve">SZ</w:t>
      </w:r>
      <w:r>
        <w:t xml:space="preserve">.</w:t>
      </w:r>
    </w:p>
    <w:bookmarkEnd w:id="86"/>
    <w:bookmarkStart w:id="87" w:name="Xf0b8674669e9975045568cef7a60e132745302c"/>
    <w:p>
      <w:pPr>
        <w:pStyle w:val="Heading4"/>
      </w:pPr>
      <w:r>
        <w:t xml:space="preserve">4. Имя списка табличных форм в режиме заказа (</w:t>
      </w:r>
      <w:r>
        <w:rPr>
          <w:rStyle w:val="VerbatimChar"/>
        </w:rPr>
        <w:t xml:space="preserve">TabMnuForZ</w:t>
      </w:r>
      <w:r>
        <w:t xml:space="preserve">)</w:t>
      </w:r>
    </w:p>
    <w:p>
      <w:pPr>
        <w:pStyle w:val="FirstParagraph"/>
      </w:pPr>
      <w:r>
        <w:t xml:space="preserve">Имя MNU-справочника (по умолчанию</w:t>
      </w:r>
      <w:r>
        <w:t xml:space="preserve"> </w:t>
      </w:r>
      <w:r>
        <w:rPr>
          <w:rStyle w:val="VerbatimChar"/>
        </w:rPr>
        <w:t xml:space="preserve">tabpzw.mnu</w:t>
      </w:r>
      <w:r>
        <w:t xml:space="preserve">), в котором перечислены доступные выходные формы для печати из режима</w:t>
      </w:r>
      <w:r>
        <w:t xml:space="preserve"> </w:t>
      </w:r>
      <w:r>
        <w:t xml:space="preserve">“Заказ”</w:t>
      </w:r>
      <w:r>
        <w:t xml:space="preserve">.</w:t>
      </w:r>
    </w:p>
    <w:p>
      <w:pPr>
        <w:pStyle w:val="Compact"/>
        <w:numPr>
          <w:ilvl w:val="0"/>
          <w:numId w:val="104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</w:t>
      </w:r>
      <w:r>
        <w:t xml:space="preserve"> </w:t>
      </w:r>
      <w:r>
        <w:t xml:space="preserve">“Заказ”</w:t>
      </w:r>
      <w:r>
        <w:t xml:space="preserve"> </w:t>
      </w:r>
      <w:r>
        <w:t xml:space="preserve">со списком печатных форм для БД CMPL или БД каталога.</w:t>
      </w:r>
    </w:p>
    <w:bookmarkEnd w:id="87"/>
    <w:bookmarkEnd w:id="88"/>
    <w:bookmarkStart w:id="91" w:name="настройка-режима-пополнения-итоговой-ксу"/>
    <w:p>
      <w:pPr>
        <w:pStyle w:val="Heading3"/>
      </w:pPr>
      <w:r>
        <w:t xml:space="preserve">Настройка режима пополнения Итоговой КСУ</w:t>
      </w:r>
    </w:p>
    <w:p>
      <w:pPr>
        <w:pStyle w:val="FirstParagraph"/>
      </w:pPr>
      <w:r>
        <w:t xml:space="preserve">Определяет параметры пересчета итоговых документов КСУ.</w:t>
      </w:r>
    </w:p>
    <w:bookmarkStart w:id="89" w:name="Xa63a69e29ac15f97d4e6ea2715ce5064a368e54"/>
    <w:p>
      <w:pPr>
        <w:pStyle w:val="Heading4"/>
      </w:pPr>
      <w:r>
        <w:t xml:space="preserve">1. Таблица пополнения ИТОГОВОЙ КСУ до заданной даты по БД CMPL (</w:t>
      </w:r>
      <w:r>
        <w:rPr>
          <w:rStyle w:val="VerbatimChar"/>
        </w:rPr>
        <w:t xml:space="preserve">KsuFstItog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показателей итоговой КСУ.</w:t>
      </w:r>
    </w:p>
    <w:p>
      <w:pPr>
        <w:pStyle w:val="Compact"/>
        <w:numPr>
          <w:ilvl w:val="0"/>
          <w:numId w:val="104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загружается при пополнении записи типа</w:t>
      </w:r>
      <w:r>
        <w:t xml:space="preserve"> </w:t>
      </w:r>
      <w:r>
        <w:rPr>
          <w:rStyle w:val="VerbatimChar"/>
        </w:rPr>
        <w:t xml:space="preserve">KSI</w:t>
      </w:r>
      <w:r>
        <w:t xml:space="preserve"> </w:t>
      </w:r>
      <w:r>
        <w:t xml:space="preserve">(итоговая КСУ на дату). Содержит форматы вычислений (сумма, максимум, количество уникальных и т.д.).</w:t>
      </w:r>
    </w:p>
    <w:bookmarkEnd w:id="89"/>
    <w:bookmarkStart w:id="90" w:name="Xf2e180a6440f1252337d780b12266729b2f8ef9"/>
    <w:p>
      <w:pPr>
        <w:pStyle w:val="Heading4"/>
      </w:pPr>
      <w:r>
        <w:t xml:space="preserve">2. Таблица пополнения ИТОГОВОЙ записи КСУ выбытия и поступления за период (</w:t>
      </w:r>
      <w:r>
        <w:rPr>
          <w:rStyle w:val="VerbatimChar"/>
        </w:rPr>
        <w:t xml:space="preserve">KsuFst2Fond</w:t>
      </w:r>
      <w:r>
        <w:t xml:space="preserve">)</w:t>
      </w:r>
    </w:p>
    <w:p>
      <w:pPr>
        <w:pStyle w:val="FirstParagraph"/>
      </w:pPr>
      <w:r>
        <w:t xml:space="preserve">Имя FST-файла, применяемого для расчета итоговых КСУ выбытия и поступления за определенный промежуток времени.</w:t>
      </w:r>
    </w:p>
    <w:p>
      <w:pPr>
        <w:pStyle w:val="Compact"/>
        <w:numPr>
          <w:ilvl w:val="0"/>
          <w:numId w:val="104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используется при пополнении записей типа</w:t>
      </w:r>
      <w:r>
        <w:t xml:space="preserve"> </w:t>
      </w:r>
      <w:r>
        <w:rPr>
          <w:rStyle w:val="VerbatimChar"/>
        </w:rPr>
        <w:t xml:space="preserve">KSFP</w:t>
      </w:r>
      <w:r>
        <w:t xml:space="preserve"> </w:t>
      </w:r>
      <w:r>
        <w:t xml:space="preserve">(итоговая поступления) и</w:t>
      </w:r>
      <w:r>
        <w:t xml:space="preserve"> </w:t>
      </w:r>
      <w:r>
        <w:rPr>
          <w:rStyle w:val="VerbatimChar"/>
        </w:rPr>
        <w:t xml:space="preserve">KSFS</w:t>
      </w:r>
      <w:r>
        <w:t xml:space="preserve"> </w:t>
      </w:r>
      <w:r>
        <w:t xml:space="preserve">(итоговая выбытия).</w:t>
      </w:r>
    </w:p>
    <w:bookmarkEnd w:id="90"/>
    <w:bookmarkEnd w:id="91"/>
    <w:bookmarkStart w:id="110" w:name="настройка-формы-проверки-фонда"/>
    <w:p>
      <w:pPr>
        <w:pStyle w:val="Heading3"/>
      </w:pPr>
      <w:r>
        <w:t xml:space="preserve">Настройка формы проверки фонда</w:t>
      </w:r>
    </w:p>
    <w:p>
      <w:pPr>
        <w:pStyle w:val="FirstParagraph"/>
      </w:pPr>
      <w:r>
        <w:t xml:space="preserve">Специальный блок для конфигурации сервиса инвентаризации («Проверка фонда»).</w:t>
      </w:r>
    </w:p>
    <w:bookmarkStart w:id="92" w:name="Xd24da70ce6d77964d4ec2bd62d42654fe8e51a2"/>
    <w:p>
      <w:pPr>
        <w:pStyle w:val="Heading4"/>
      </w:pPr>
      <w:r>
        <w:t xml:space="preserve">1. БД по которым проводить проверку фонда (</w:t>
      </w:r>
      <w:r>
        <w:rPr>
          <w:rStyle w:val="VerbatimChar"/>
        </w:rPr>
        <w:t xml:space="preserve">checkFondDatabases</w:t>
      </w:r>
      <w:r>
        <w:t xml:space="preserve">)</w:t>
      </w:r>
    </w:p>
    <w:p>
      <w:pPr>
        <w:pStyle w:val="FirstParagraph"/>
      </w:pPr>
      <w:r>
        <w:t xml:space="preserve">Позволяет ограничить инвентаризацию конкретными базами каталога.</w:t>
      </w:r>
    </w:p>
    <w:p>
      <w:pPr>
        <w:pStyle w:val="Compact"/>
        <w:numPr>
          <w:ilvl w:val="0"/>
          <w:numId w:val="104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4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(Страница «Проверка фонда») — поиск сканируемых штрих-кодов или инвентарных номеров и обновление данных в найденных экземплярах. Если не задан, используется БД по умолчанию.</w:t>
      </w:r>
    </w:p>
    <w:p>
      <w:pPr>
        <w:pStyle w:val="Compact"/>
        <w:numPr>
          <w:ilvl w:val="1"/>
          <w:numId w:val="104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(«Отчет о проверке фонда») — перебор указанных баз для формирования отчета о недостачах и проверенном фонде.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Особенность поиска по нескольким БД:</w:t>
      </w:r>
      <w:r>
        <w:t xml:space="preserve"> </w:t>
      </w:r>
      <w:r>
        <w:t xml:space="preserve">При сканировании в режиме проверки (</w:t>
      </w:r>
      <w:r>
        <w:rPr>
          <w:rStyle w:val="VerbatimChar"/>
        </w:rPr>
        <w:t xml:space="preserve">ShowCheckFondForm</w:t>
      </w:r>
      <w:r>
        <w:t xml:space="preserve">) система ищет штрих-код или инвентарный номер во</w:t>
      </w:r>
      <w:r>
        <w:t xml:space="preserve"> </w:t>
      </w:r>
      <w:r>
        <w:rPr>
          <w:b/>
          <w:bCs/>
        </w:rPr>
        <w:t xml:space="preserve">всех</w:t>
      </w:r>
      <w:r>
        <w:t xml:space="preserve"> </w:t>
      </w:r>
      <w:r>
        <w:t xml:space="preserve">указанных базах последовательно, не прерывая цикл после первого совпадения.</w:t>
      </w:r>
    </w:p>
    <w:p>
      <w:pPr>
        <w:pStyle w:val="Compact"/>
        <w:numPr>
          <w:ilvl w:val="0"/>
          <w:numId w:val="1050"/>
        </w:numPr>
      </w:pPr>
      <w:r>
        <w:t xml:space="preserve">Если один идентификатор присутствует в нескольких базах (например, ошибочный дубль штрих-кода или инвентарного номера), он будет обновлен во всех, но в таблице результатов отобразится строка только для последней обработанной БД.</w:t>
      </w:r>
    </w:p>
    <w:p>
      <w:pPr>
        <w:pStyle w:val="Compact"/>
        <w:numPr>
          <w:ilvl w:val="0"/>
          <w:numId w:val="1050"/>
        </w:numPr>
      </w:pPr>
      <w:r>
        <w:t xml:space="preserve">Если идентификатор найден в одной базе, но отсутствует в других, запись будет успешно обновлена, однако система</w:t>
      </w:r>
      <w:r>
        <w:t xml:space="preserve"> </w:t>
      </w:r>
      <w:r>
        <w:rPr>
          <w:b/>
          <w:bCs/>
        </w:rPr>
        <w:t xml:space="preserve">может ошибочно воспроизвести звуковой сигнал ошибки</w:t>
      </w:r>
      <w:r>
        <w:t xml:space="preserve">, так как зафиксирует факт отсутствия идентификатора в последующих базах.</w:t>
      </w:r>
      <w:r>
        <w:t xml:space="preserve"> </w:t>
      </w:r>
      <w:r>
        <w:t xml:space="preserve">Рекомендуется проводить проверку по одной базе за раз, либо учитывать эту особенность звукового оповещения.</w:t>
      </w:r>
      <w:r>
        <w:t xml:space="preserve"> </w:t>
      </w:r>
      <w:r>
        <w:t xml:space="preserve">@@@</w:t>
      </w:r>
    </w:p>
    <w:bookmarkEnd w:id="92"/>
    <w:bookmarkStart w:id="93" w:name="Xd7ce906ed7c82c1a9a92654b207eca99fdb72aa"/>
    <w:p>
      <w:pPr>
        <w:pStyle w:val="Heading4"/>
      </w:pPr>
      <w:r>
        <w:t xml:space="preserve">2. Разделитель подполя для идентификатора полки (</w:t>
      </w:r>
      <w:r>
        <w:rPr>
          <w:rStyle w:val="VerbatimChar"/>
        </w:rPr>
        <w:t xml:space="preserve">checkFondShelfSubField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будет записываться штрих-код полки (по умолчанию</w:t>
      </w:r>
      <w:r>
        <w:t xml:space="preserve"> </w:t>
      </w:r>
      <w:r>
        <w:rPr>
          <w:rStyle w:val="VerbatimChar"/>
        </w:rPr>
        <w:t xml:space="preserve">+</w:t>
      </w:r>
      <w:r>
        <w:t xml:space="preserve">).</w:t>
      </w:r>
    </w:p>
    <w:p>
      <w:pPr>
        <w:pStyle w:val="Compact"/>
        <w:numPr>
          <w:ilvl w:val="0"/>
          <w:numId w:val="105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сканировании полки её номер записывается в указанное подполе поля 910 найденного экземпляра.</w:t>
      </w:r>
    </w:p>
    <w:p>
      <w:pPr>
        <w:pStyle w:val="Compact"/>
        <w:numPr>
          <w:ilvl w:val="1"/>
          <w:numId w:val="1052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используется для фильтрации результатов по конкретной полке при формировании отчета.</w:t>
      </w:r>
    </w:p>
    <w:bookmarkEnd w:id="93"/>
    <w:bookmarkStart w:id="94" w:name="X5f5e961123dd1224cac0476c83c2e987cbb1087"/>
    <w:p>
      <w:pPr>
        <w:pStyle w:val="Heading4"/>
      </w:pPr>
      <w:r>
        <w:t xml:space="preserve">3. Использовать единую форму проверки фонда (одно поле ввода) (</w:t>
      </w:r>
      <w:r>
        <w:rPr>
          <w:rStyle w:val="VerbatimChar"/>
        </w:rPr>
        <w:t xml:space="preserve">checkFondUnifiedMode</w:t>
      </w:r>
      <w:r>
        <w:t xml:space="preserve">)</w:t>
      </w:r>
    </w:p>
    <w:p>
      <w:pPr>
        <w:pStyle w:val="FirstParagraph"/>
      </w:pPr>
      <w:r>
        <w:t xml:space="preserve">Переключает интерфейс проверки фонда в современный режим. По умолчанию эта настройка отключена (значение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), и используется классическая форма.</w:t>
      </w:r>
    </w:p>
    <w:p>
      <w:pPr>
        <w:pStyle w:val="Compact"/>
        <w:numPr>
          <w:ilvl w:val="0"/>
          <w:numId w:val="1053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меняет внешний вид формы ввода. При включении выводится одно большое текстовое поле для сканирования штрих-кодов полок и книг вперемешку, вместо классических раздельных полей.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Обратите внимание: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 работают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при включенной единой форме ввода. В классическом режиме они игнорируются, так как место хранения выбирается вручную из выпадающего списка.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Логика фиксации ФИО проверяющего и ведения истории проверки (настройки</w:t>
      </w:r>
      <w:r>
        <w:t xml:space="preserve"> </w:t>
      </w:r>
      <w:r>
        <w:rPr>
          <w:rStyle w:val="VerbatimChar"/>
        </w:rPr>
        <w:t xml:space="preserve">checkFondUserSubfield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checkFondHistorySubfield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checkFondHistoryField</w:t>
      </w:r>
      <w:r>
        <w:t xml:space="preserve">) также реализована</w:t>
      </w:r>
      <w:r>
        <w:t xml:space="preserve"> </w:t>
      </w:r>
      <w:r>
        <w:rPr>
          <w:b/>
          <w:bCs/>
        </w:rPr>
        <w:t xml:space="preserve">только</w:t>
      </w:r>
      <w:r>
        <w:t xml:space="preserve"> </w:t>
      </w:r>
      <w:r>
        <w:t xml:space="preserve">для единой формы ввода. В классическом (раздельном) режиме система обновит в записи лишь дату, место хранения и</w:t>
      </w:r>
      <w:r>
        <w:t xml:space="preserve"> </w:t>
      </w:r>
      <w:r>
        <w:rPr>
          <w:b/>
          <w:bCs/>
        </w:rPr>
        <w:t xml:space="preserve">номер полки</w:t>
      </w:r>
      <w:r>
        <w:t xml:space="preserve"> </w:t>
      </w:r>
      <w:r>
        <w:t xml:space="preserve">(если он был указан в соответствующем поле).</w:t>
      </w:r>
      <w:r>
        <w:t xml:space="preserve"> </w:t>
      </w:r>
      <w:r>
        <w:t xml:space="preserve">@@@</w:t>
      </w:r>
    </w:p>
    <w:bookmarkEnd w:id="94"/>
    <w:bookmarkStart w:id="95" w:name="Xd06e3923339449d2295e70c69ef389582ee425b"/>
    <w:p>
      <w:pPr>
        <w:pStyle w:val="Heading4"/>
      </w:pPr>
      <w:r>
        <w:t xml:space="preserve">4. Частота звука ошибки (Гц) (</w:t>
      </w:r>
      <w:r>
        <w:rPr>
          <w:rStyle w:val="VerbatimChar"/>
        </w:rPr>
        <w:t xml:space="preserve">checkFondErrorSoundFreq</w:t>
      </w:r>
      <w:r>
        <w:t xml:space="preserve">)</w:t>
      </w:r>
    </w:p>
    <w:p>
      <w:pPr>
        <w:pStyle w:val="FirstParagraph"/>
      </w:pPr>
      <w:r>
        <w:t xml:space="preserve">Тональность звукового сигнала при ошибке сканирования (по умолчанию 150).</w:t>
      </w:r>
    </w:p>
    <w:p>
      <w:pPr>
        <w:pStyle w:val="Compact"/>
        <w:numPr>
          <w:ilvl w:val="0"/>
          <w:numId w:val="1054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генерация звука через Web Audio API (форма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 Воспроизводится прямо в браузере, если сканируемая книга не найдена или произошла ошибка статуса. Загрузка дополнительных аудиофайлов на сервер не требуется.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автоматически применит значение по умолчанию (150 Гц).</w:t>
      </w:r>
    </w:p>
    <w:bookmarkEnd w:id="95"/>
    <w:bookmarkStart w:id="96" w:name="X22d032e64d15bceca4746892e59cecada8eecd8"/>
    <w:p>
      <w:pPr>
        <w:pStyle w:val="Heading4"/>
      </w:pPr>
      <w:r>
        <w:t xml:space="preserve">5. Воспроизводить звуковой сигнал при ошибке (</w:t>
      </w:r>
      <w:r>
        <w:rPr>
          <w:rStyle w:val="VerbatimChar"/>
        </w:rPr>
        <w:t xml:space="preserve">checkFondPlayErrorSound</w:t>
      </w:r>
      <w:r>
        <w:t xml:space="preserve">)</w:t>
      </w:r>
    </w:p>
    <w:p>
      <w:pPr>
        <w:pStyle w:val="FirstParagraph"/>
      </w:pPr>
      <w:r>
        <w:t xml:space="preserve">Включает или выключает звуковые оповещения об ошибках при проверке фонда.</w:t>
      </w:r>
    </w:p>
    <w:p>
      <w:pPr>
        <w:pStyle w:val="Compact"/>
        <w:numPr>
          <w:ilvl w:val="0"/>
          <w:numId w:val="105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задает первоначальное состояние кнопки управления звуком на странице. При этом пользователи могут вручную переключать звук в интерфейсе — их личный выбор сохранится в памяти браузера (</w:t>
      </w:r>
      <w:r>
        <w:rPr>
          <w:rStyle w:val="VerbatimChar"/>
        </w:rPr>
        <w:t xml:space="preserve">localStorage</w:t>
      </w:r>
      <w:r>
        <w:t xml:space="preserve"> </w:t>
      </w:r>
      <w:r>
        <w:t xml:space="preserve">под ключом</w:t>
      </w:r>
      <w:r>
        <w:t xml:space="preserve"> </w:t>
      </w:r>
      <w:r>
        <w:rPr>
          <w:rStyle w:val="VerbatimChar"/>
        </w:rPr>
        <w:t xml:space="preserve">checkFondPlayErrorSoundLocal</w:t>
      </w:r>
      <w:r>
        <w:t xml:space="preserve">) и будет иметь приоритет над системной настройкой.</w:t>
      </w:r>
    </w:p>
    <w:bookmarkEnd w:id="96"/>
    <w:bookmarkStart w:id="107" w:name="X5d20fac9c1151c1fd03406cec1dd2b02017c9b5"/>
    <w:p>
      <w:pPr>
        <w:pStyle w:val="Heading4"/>
      </w:pPr>
      <w:r>
        <w:t xml:space="preserve">6. Настройка полей и подполей для проверки фонда</w:t>
      </w:r>
    </w:p>
    <w:p>
      <w:pPr>
        <w:pStyle w:val="FirstParagraph"/>
      </w:pPr>
      <w:r>
        <w:t xml:space="preserve">Маппинг полей библиографической записи (обычно поле 910 для экземпляров). Данный блок настроек напрямую влияет на логику обновления записи и формирование отчетов.</w:t>
      </w:r>
    </w:p>
    <w:bookmarkStart w:id="97" w:name="X79e6560b768854a3a1232bf0db9d3aed0e1e93c"/>
    <w:p>
      <w:pPr>
        <w:pStyle w:val="Heading5"/>
      </w:pPr>
      <w:r>
        <w:t xml:space="preserve">6.1. Подполе для штрих-кода (</w:t>
      </w:r>
      <w:r>
        <w:rPr>
          <w:rStyle w:val="VerbatimChar"/>
        </w:rPr>
        <w:t xml:space="preserve">checkFondBarcodeSubfield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штрих-код экземпляра (по умолчанию</w:t>
      </w:r>
      <w:r>
        <w:t xml:space="preserve"> </w:t>
      </w:r>
      <w:r>
        <w:rPr>
          <w:rStyle w:val="VerbatimChar"/>
        </w:rPr>
        <w:t xml:space="preserve">H</w:t>
      </w:r>
      <w:r>
        <w:t xml:space="preserve">).</w:t>
      </w:r>
    </w:p>
    <w:p>
      <w:pPr>
        <w:pStyle w:val="Compact"/>
        <w:numPr>
          <w:ilvl w:val="0"/>
          <w:numId w:val="1056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7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поиск библиографической записи и конкретного повторения поля экземпляра для обновления статуса.</w:t>
      </w:r>
    </w:p>
    <w:p>
      <w:pPr>
        <w:pStyle w:val="Compact"/>
        <w:numPr>
          <w:ilvl w:val="1"/>
          <w:numId w:val="1057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экземпляров, а также проверка выдачи читателям (поиск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штрих-коду).</w:t>
      </w:r>
    </w:p>
    <w:bookmarkEnd w:id="97"/>
    <w:bookmarkStart w:id="98" w:name="X1a45c74616d814e8934285c1169d94b1a24aa93"/>
    <w:p>
      <w:pPr>
        <w:pStyle w:val="Heading5"/>
      </w:pPr>
      <w:r>
        <w:t xml:space="preserve">6.2. Подполе для инвентарного номера (</w:t>
      </w:r>
      <w:r>
        <w:rPr>
          <w:rStyle w:val="VerbatimChar"/>
        </w:rPr>
        <w:t xml:space="preserve">checkFondInvNumSubfield</w:t>
      </w:r>
      <w:r>
        <w:t xml:space="preserve">)</w:t>
      </w:r>
    </w:p>
    <w:p>
      <w:pPr>
        <w:pStyle w:val="FirstParagraph"/>
      </w:pPr>
      <w:r>
        <w:t xml:space="preserve">Символ подполя, содержащего инвентарный номер экземпляра (по умолчанию</w:t>
      </w:r>
      <w:r>
        <w:t xml:space="preserve"> </w:t>
      </w:r>
      <w:r>
        <w:rPr>
          <w:rStyle w:val="VerbatimChar"/>
        </w:rPr>
        <w:t xml:space="preserve">B</w:t>
      </w:r>
      <w:r>
        <w:t xml:space="preserve">).</w:t>
      </w:r>
    </w:p>
    <w:p>
      <w:pPr>
        <w:pStyle w:val="Compact"/>
        <w:numPr>
          <w:ilvl w:val="0"/>
          <w:numId w:val="1058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59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альтернативный идентификатор для поиска записи и её обновления.</w:t>
      </w:r>
    </w:p>
    <w:p>
      <w:pPr>
        <w:pStyle w:val="Compact"/>
        <w:numPr>
          <w:ilvl w:val="1"/>
          <w:numId w:val="1059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поиск экземпляров и проверка задолженностей в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bookmarkEnd w:id="98"/>
    <w:bookmarkStart w:id="99" w:name="X872850ff0e912596c189b70b5fd31dc6fa40e4d"/>
    <w:p>
      <w:pPr>
        <w:pStyle w:val="Heading5"/>
      </w:pPr>
      <w:r>
        <w:t xml:space="preserve">6.3. Подполе для даты проверки (</w:t>
      </w:r>
      <w:r>
        <w:rPr>
          <w:rStyle w:val="VerbatimChar"/>
        </w:rPr>
        <w:t xml:space="preserve">checkFondDateSubfield</w:t>
      </w:r>
      <w:r>
        <w:t xml:space="preserve">)</w:t>
      </w:r>
    </w:p>
    <w:p>
      <w:pPr>
        <w:pStyle w:val="FirstParagraph"/>
      </w:pPr>
      <w:r>
        <w:t xml:space="preserve">Символ подполя, в которое записывается дата проверки (по умолчанию</w:t>
      </w:r>
      <w:r>
        <w:t xml:space="preserve"> </w:t>
      </w:r>
      <w:r>
        <w:rPr>
          <w:rStyle w:val="VerbatimChar"/>
        </w:rPr>
        <w:t xml:space="preserve">S</w:t>
      </w:r>
      <w:r>
        <w:t xml:space="preserve">).</w:t>
      </w:r>
    </w:p>
    <w:p>
      <w:pPr>
        <w:pStyle w:val="Compact"/>
        <w:numPr>
          <w:ilvl w:val="0"/>
          <w:numId w:val="1060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1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обновление данного подполя текущей датой сервера в формате</w:t>
      </w:r>
      <w:r>
        <w:t xml:space="preserve"> </w:t>
      </w:r>
      <w:r>
        <w:rPr>
          <w:rStyle w:val="VerbatimChar"/>
        </w:rPr>
        <w:t xml:space="preserve">Ymd</w:t>
      </w:r>
      <w:r>
        <w:t xml:space="preserve"> </w:t>
      </w:r>
      <w:r>
        <w:t xml:space="preserve">(например,</w:t>
      </w:r>
      <w:r>
        <w:t xml:space="preserve"> </w:t>
      </w:r>
      <w:r>
        <w:rPr>
          <w:rStyle w:val="VerbatimChar"/>
        </w:rPr>
        <w:t xml:space="preserve">20260415</w:t>
      </w:r>
      <w:r>
        <w:t xml:space="preserve">) при сканировании.</w:t>
      </w:r>
    </w:p>
    <w:p>
      <w:pPr>
        <w:pStyle w:val="Compact"/>
        <w:numPr>
          <w:ilvl w:val="1"/>
          <w:numId w:val="1061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проверенных и непроверенных экземпляров путем сравнения данного подполя с датой начала проверки, указанной в фильтре.</w:t>
      </w:r>
    </w:p>
    <w:bookmarkEnd w:id="99"/>
    <w:bookmarkStart w:id="100" w:name="Xcc311f5158bdcbf7d595d36da321317a800f47f"/>
    <w:p>
      <w:pPr>
        <w:pStyle w:val="Heading5"/>
      </w:pPr>
      <w:r>
        <w:t xml:space="preserve">6.4. Подполе для ФИО проверявшего (</w:t>
      </w:r>
      <w:r>
        <w:rPr>
          <w:rStyle w:val="VerbatimChar"/>
        </w:rPr>
        <w:t xml:space="preserve">checkFondUserSubfield</w:t>
      </w:r>
      <w:r>
        <w:t xml:space="preserve">)</w:t>
      </w:r>
    </w:p>
    <w:p>
      <w:pPr>
        <w:pStyle w:val="FirstParagraph"/>
      </w:pPr>
      <w:r>
        <w:t xml:space="preserve">Символ подполя для записи ФИО сотрудника, проводившего инвентаризацию (по умолчанию</w:t>
      </w:r>
      <w:r>
        <w:t xml:space="preserve"> </w:t>
      </w:r>
      <w:r>
        <w:rPr>
          <w:rStyle w:val="VerbatimChar"/>
        </w:rPr>
        <w:t xml:space="preserve">(</w:t>
      </w:r>
      <w:r>
        <w:t xml:space="preserve">).</w:t>
      </w:r>
    </w:p>
    <w:p>
      <w:pPr>
        <w:pStyle w:val="Compact"/>
        <w:numPr>
          <w:ilvl w:val="0"/>
          <w:numId w:val="1062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успешном сканировании заполняется ФИО текущего пользователя системы (берется из полей 10, 11, 12 профиля сотрудника, либо берется логин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при их отсутствии). В отчетах используется для отображения ответственного.</w:t>
      </w:r>
    </w:p>
    <w:bookmarkEnd w:id="100"/>
    <w:bookmarkStart w:id="101" w:name="X9b4d87d5c6a71d83137a577ccc694895f5912dd"/>
    <w:p>
      <w:pPr>
        <w:pStyle w:val="Heading5"/>
      </w:pPr>
      <w:r>
        <w:t xml:space="preserve">6.5. Подполе для фактического места хранения (</w:t>
      </w:r>
      <w:r>
        <w:rPr>
          <w:rStyle w:val="VerbatimChar"/>
        </w:rPr>
        <w:t xml:space="preserve">checkFondMhrSubfield</w:t>
      </w:r>
      <w:r>
        <w:t xml:space="preserve">)</w:t>
      </w:r>
    </w:p>
    <w:p>
      <w:pPr>
        <w:pStyle w:val="FirstParagraph"/>
      </w:pPr>
      <w:r>
        <w:t xml:space="preserve">Символ подполя, куда записывается подтвержденное место хранения (по умолчанию</w:t>
      </w:r>
      <w:r>
        <w:t xml:space="preserve"> </w:t>
      </w:r>
      <w:r>
        <w:rPr>
          <w:rStyle w:val="VerbatimChar"/>
        </w:rPr>
        <w:t xml:space="preserve">!</w:t>
      </w:r>
      <w:r>
        <w:t xml:space="preserve">).</w:t>
      </w:r>
    </w:p>
    <w:p>
      <w:pPr>
        <w:pStyle w:val="Compact"/>
        <w:numPr>
          <w:ilvl w:val="0"/>
          <w:numId w:val="106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6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актуализация места хранения (полученного из правил полок или выбранного из списка) в записи экземпляра.</w:t>
      </w:r>
    </w:p>
    <w:p>
      <w:pPr>
        <w:pStyle w:val="Compact"/>
        <w:numPr>
          <w:ilvl w:val="1"/>
          <w:numId w:val="1064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отбор экземпляров для отчета по месту хранения (при этом система также проверяет стандартные подполя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</w:t>
      </w:r>
      <w:r>
        <w:t xml:space="preserve">, что позволяет корректно учитывать еще не проверенный фонд).</w:t>
      </w:r>
    </w:p>
    <w:bookmarkEnd w:id="101"/>
    <w:bookmarkStart w:id="102" w:name="индекс-фактического-места-хранения"/>
    <w:p>
      <w:pPr>
        <w:pStyle w:val="Heading5"/>
      </w:pPr>
      <w:r>
        <w:t xml:space="preserve">6.6. Индекс фактического места хранения</w:t>
      </w:r>
    </w:p>
    <w:p>
      <w:pPr>
        <w:pStyle w:val="FirstParagraph"/>
      </w:pPr>
      <w:r>
        <w:t xml:space="preserve">Префикс поискового словаря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по которому отчет ищет экземпляры с заполненным фактическим местом хранения из</w:t>
      </w:r>
      <w:r>
        <w:t xml:space="preserve"> </w:t>
      </w:r>
      <w:r>
        <w:rPr>
          <w:rStyle w:val="VerbatimChar"/>
        </w:rPr>
        <w:t xml:space="preserve">checkFondMhrSubfield</w:t>
      </w:r>
      <w:r>
        <w:t xml:space="preserve">.</w:t>
      </w:r>
    </w:p>
    <w:p>
      <w:pPr>
        <w:pStyle w:val="Compact"/>
        <w:numPr>
          <w:ilvl w:val="0"/>
          <w:numId w:val="106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Complectator/ProvFondReport</w:t>
      </w:r>
      <w:r>
        <w:t xml:space="preserve"> </w:t>
      </w:r>
      <w:r>
        <w:t xml:space="preserve">— первичная выборка строится по стандартному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 префиксу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Это позволяет включать в отчет уже проверенные экземпляры, у которых фактическое место хранения записано в отдельное подполе 910 и не попадает в индекс</w:t>
      </w:r>
      <w:r>
        <w:t xml:space="preserve"> </w:t>
      </w:r>
      <w:r>
        <w:rPr>
          <w:rStyle w:val="VerbatimChar"/>
        </w:rPr>
        <w:t xml:space="preserve">MHR=</w:t>
      </w:r>
      <w:r>
        <w:t xml:space="preserve">.</w:t>
      </w:r>
    </w:p>
    <w:bookmarkEnd w:id="102"/>
    <w:bookmarkStart w:id="103" w:name="X3cb6ed840b078a7bde1814dbf04aed66096e742"/>
    <w:p>
      <w:pPr>
        <w:pStyle w:val="Heading5"/>
      </w:pPr>
      <w:r>
        <w:t xml:space="preserve">6.7. Подполе для истории проверки (</w:t>
      </w:r>
      <w:r>
        <w:rPr>
          <w:rStyle w:val="VerbatimChar"/>
        </w:rPr>
        <w:t xml:space="preserve">checkFondHistorySubfield</w:t>
      </w:r>
      <w:r>
        <w:t xml:space="preserve">)</w:t>
      </w:r>
    </w:p>
    <w:p>
      <w:pPr>
        <w:pStyle w:val="FirstParagraph"/>
      </w:pPr>
      <w:r>
        <w:t xml:space="preserve">Символ подполя для хранения предыдущих дат проверок (по умолчанию</w:t>
      </w:r>
      <w:r>
        <w:t xml:space="preserve"> </w:t>
      </w:r>
      <w:r>
        <w:rPr>
          <w:rStyle w:val="VerbatimChar"/>
        </w:rPr>
        <w:t xml:space="preserve">)</w:t>
      </w:r>
      <w:r>
        <w:t xml:space="preserve">).</w:t>
      </w:r>
    </w:p>
    <w:p>
      <w:pPr>
        <w:pStyle w:val="Compact"/>
        <w:numPr>
          <w:ilvl w:val="0"/>
          <w:numId w:val="106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 это подполе переносится старая дата проверки, инвентарный номер (если отсутствует, используется штрих-код) и ФИО проверявшего в формате</w:t>
      </w:r>
      <w:r>
        <w:t xml:space="preserve"> </w:t>
      </w:r>
      <w:r>
        <w:rPr>
          <w:rStyle w:val="VerbatimChar"/>
        </w:rPr>
        <w:t xml:space="preserve">инвентарь/дата/ФИО</w:t>
      </w:r>
      <w:r>
        <w:t xml:space="preserve">.</w:t>
      </w:r>
      <w:r>
        <w:t xml:space="preserve"> </w:t>
      </w:r>
      <w:r>
        <w:t xml:space="preserve">История сохраняется только в том случае, если у экземпляра уже была заполнена дата предыдущей проверки или ФИО проверявшего. При первичной проверке пустая история не создается.</w:t>
      </w:r>
    </w:p>
    <w:bookmarkEnd w:id="103"/>
    <w:bookmarkStart w:id="104" w:name="Xf555d9876ac2a5167de061ca5b3f87df5eb4289"/>
    <w:p>
      <w:pPr>
        <w:pStyle w:val="Heading5"/>
      </w:pPr>
      <w:r>
        <w:t xml:space="preserve">6.8. Поле для копии с историей (</w:t>
      </w:r>
      <w:r>
        <w:rPr>
          <w:rStyle w:val="VerbatimChar"/>
        </w:rPr>
        <w:t xml:space="preserve">checkFondHistoryField</w:t>
      </w:r>
      <w:r>
        <w:t xml:space="preserve">)</w:t>
      </w:r>
    </w:p>
    <w:p>
      <w:pPr>
        <w:pStyle w:val="FirstParagraph"/>
      </w:pPr>
      <w:r>
        <w:t xml:space="preserve">Метка поля (по умолчанию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), в которое полностью копируется поле экземпляра для сохранения истории.</w:t>
      </w:r>
    </w:p>
    <w:p>
      <w:pPr>
        <w:pStyle w:val="Compact"/>
        <w:numPr>
          <w:ilvl w:val="0"/>
          <w:numId w:val="106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после актуализации данных о текущей проверке в поле 910, обновленное поле копируется в указанную метку (например,</w:t>
      </w:r>
      <w:r>
        <w:t xml:space="preserve"> </w:t>
      </w:r>
      <w:r>
        <w:rPr>
          <w:rStyle w:val="VerbatimChar"/>
        </w:rPr>
        <w:t xml:space="preserve">9101</w:t>
      </w:r>
      <w:r>
        <w:t xml:space="preserve">). Добавление нового повторения происходит</w:t>
      </w:r>
      <w:r>
        <w:t xml:space="preserve"> </w:t>
      </w:r>
      <w:r>
        <w:rPr>
          <w:b/>
          <w:bCs/>
        </w:rPr>
        <w:t xml:space="preserve">только если его содержимое отличается от последнего добавленного</w:t>
      </w:r>
      <w:r>
        <w:t xml:space="preserve">, что предотвращает дублирование идентичных исторических записей при случайном повторном сканировании.</w:t>
      </w:r>
    </w:p>
    <w:bookmarkEnd w:id="104"/>
    <w:bookmarkStart w:id="105" w:name="подполе-для-цены-checkfondpricesubfield"/>
    <w:p>
      <w:pPr>
        <w:pStyle w:val="Heading5"/>
      </w:pPr>
      <w:r>
        <w:t xml:space="preserve">6.9. Подполе для цены (</w:t>
      </w:r>
      <w:r>
        <w:rPr>
          <w:rStyle w:val="VerbatimChar"/>
        </w:rPr>
        <w:t xml:space="preserve">checkFondPriceSubfield</w:t>
      </w:r>
      <w:r>
        <w:t xml:space="preserve">)</w:t>
      </w:r>
    </w:p>
    <w:p>
      <w:pPr>
        <w:pStyle w:val="FirstParagraph"/>
      </w:pPr>
      <w:r>
        <w:t xml:space="preserve">Символ подполя цены экземпляра (по умолчанию</w:t>
      </w:r>
      <w:r>
        <w:t xml:space="preserve"> </w:t>
      </w:r>
      <w:r>
        <w:rPr>
          <w:rStyle w:val="VerbatimChar"/>
        </w:rPr>
        <w:t xml:space="preserve">E</w:t>
      </w:r>
      <w:r>
        <w:t xml:space="preserve">).</w:t>
      </w:r>
    </w:p>
    <w:p>
      <w:pPr>
        <w:pStyle w:val="Compact"/>
        <w:numPr>
          <w:ilvl w:val="0"/>
          <w:numId w:val="1068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вывод цены в результатах на странице инвентаризации. Если цена в 910 поле отсутствует, система автоматически попытается подставить значение из поля</w:t>
      </w:r>
      <w:r>
        <w:t xml:space="preserve"> </w:t>
      </w:r>
      <w:r>
        <w:rPr>
          <w:rStyle w:val="VerbatimChar"/>
        </w:rPr>
        <w:t xml:space="preserve">10^D</w:t>
      </w:r>
      <w:r>
        <w:t xml:space="preserve"> </w:t>
      </w:r>
      <w:r>
        <w:t xml:space="preserve">библиографического описания.</w:t>
      </w:r>
    </w:p>
    <w:bookmarkEnd w:id="105"/>
    <w:bookmarkStart w:id="106" w:name="X4b126bcaa1fffc925aaedd219ee33f7f4541ad4"/>
    <w:p>
      <w:pPr>
        <w:pStyle w:val="Heading5"/>
      </w:pPr>
      <w:r>
        <w:t xml:space="preserve">6.10. Лимит записей в архиве проверок (</w:t>
      </w:r>
      <w:r>
        <w:rPr>
          <w:rStyle w:val="VerbatimChar"/>
        </w:rPr>
        <w:t xml:space="preserve">checkFondArchiveLimit</w:t>
      </w:r>
      <w:r>
        <w:t xml:space="preserve">)</w:t>
      </w:r>
    </w:p>
    <w:p>
      <w:pPr>
        <w:pStyle w:val="FirstParagraph"/>
      </w:pPr>
      <w:r>
        <w:t xml:space="preserve">Количество последних сеансов сканирования, которые хранятся в архиве (по умолчанию 100).</w:t>
      </w:r>
      <w:r>
        <w:t xml:space="preserve"> </w:t>
      </w:r>
      <w:r>
        <w:t xml:space="preserve">Если указать значение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 отрицательное число, система проигнорирует его и применит лимит в 100 записей (сделать архив безлимитным или отключить его таким образом нельзя).</w:t>
      </w:r>
    </w:p>
    <w:p>
      <w:pPr>
        <w:pStyle w:val="Compact"/>
        <w:numPr>
          <w:ilvl w:val="0"/>
          <w:numId w:val="1069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0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автоматическая очистка старых сеансов из локальной БД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при добавлении новых.</w:t>
      </w:r>
    </w:p>
    <w:p>
      <w:pPr>
        <w:pStyle w:val="Compact"/>
        <w:numPr>
          <w:ilvl w:val="1"/>
          <w:numId w:val="1070"/>
        </w:numPr>
      </w:pPr>
      <w:r>
        <w:t xml:space="preserve">Страницу</w:t>
      </w:r>
      <w:r>
        <w:t xml:space="preserve"> </w:t>
      </w:r>
      <w:r>
        <w:rPr>
          <w:rStyle w:val="VerbatimChar"/>
        </w:rPr>
        <w:t xml:space="preserve">Complectator/ProvFondArchive</w:t>
      </w:r>
      <w:r>
        <w:t xml:space="preserve"> </w:t>
      </w:r>
      <w:r>
        <w:t xml:space="preserve">— ограничивает максимальное количество доступных для просмотра записей в архиве.</w:t>
      </w:r>
    </w:p>
    <w:bookmarkEnd w:id="106"/>
    <w:bookmarkEnd w:id="107"/>
    <w:bookmarkStart w:id="108" w:name="X7ef6addf52e3e43af95f4a830cbc96fa488923d"/>
    <w:p>
      <w:pPr>
        <w:pStyle w:val="Heading4"/>
      </w:pPr>
      <w:r>
        <w:t xml:space="preserve">7. Правила определения места хранения по полке (</w:t>
      </w:r>
      <w:r>
        <w:rPr>
          <w:rStyle w:val="VerbatimChar"/>
        </w:rPr>
        <w:t xml:space="preserve">shelfMhrRules</w:t>
      </w:r>
      <w:r>
        <w:t xml:space="preserve">)</w:t>
      </w:r>
    </w:p>
    <w:p>
      <w:pPr>
        <w:pStyle w:val="FirstParagraph"/>
      </w:pPr>
      <w:r>
        <w:t xml:space="preserve">Позволяет задать диапазоны штрих-кодов полок и соответствующее им место хранения.</w:t>
      </w:r>
      <w:r>
        <w:t xml:space="preserve"> </w:t>
      </w:r>
      <w:r>
        <w:t xml:space="preserve">Список доступных мест хранения для правил подгружается из справочника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 </w:t>
      </w:r>
      <w:r>
        <w:t xml:space="preserve">базы данных комплектования.</w:t>
      </w:r>
      <w:r>
        <w:t xml:space="preserve"> </w:t>
      </w:r>
      <w:r>
        <w:t xml:space="preserve">Сравнение диапазонов происходит по принципу сравнения строк, поэтому для корректной работы диапазонов важно соблюдать ведущие нули (например, от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09999999</w:t>
      </w:r>
      <w:r>
        <w:t xml:space="preserve">).</w:t>
      </w:r>
    </w:p>
    <w:p>
      <w:pPr>
        <w:pStyle w:val="Compact"/>
        <w:numPr>
          <w:ilvl w:val="0"/>
          <w:numId w:val="107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72"/>
        </w:numPr>
      </w:pPr>
      <w:r>
        <w:t xml:space="preserve">Класс</w:t>
      </w:r>
      <w:r>
        <w:t xml:space="preserve"> </w:t>
      </w:r>
      <w:r>
        <w:rPr>
          <w:rStyle w:val="VerbatimChar"/>
        </w:rPr>
        <w:t xml:space="preserve">Complectator</w:t>
      </w:r>
      <w:r>
        <w:t xml:space="preserve"> </w:t>
      </w:r>
      <w:r>
        <w:t xml:space="preserve">(функция</w:t>
      </w:r>
      <w:r>
        <w:t xml:space="preserve"> </w:t>
      </w:r>
      <w:r>
        <w:rPr>
          <w:rStyle w:val="VerbatimChar"/>
        </w:rPr>
        <w:t xml:space="preserve">GetMhrByShelf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) — определение места хранения по штрих-коду полки.</w:t>
      </w:r>
      <w:r>
        <w:t xml:space="preserve"> </w:t>
      </w:r>
      <w:r>
        <w:t xml:space="preserve">Если диапазоны пересекаются, применяется первое совпавшее правило (порядок расположения правил имеет значение).</w:t>
      </w:r>
    </w:p>
    <w:p>
      <w:pPr>
        <w:pStyle w:val="Compact"/>
        <w:numPr>
          <w:ilvl w:val="1"/>
          <w:numId w:val="107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ShowCheckFondForm</w:t>
      </w:r>
      <w:r>
        <w:t xml:space="preserve"> </w:t>
      </w:r>
      <w:r>
        <w:t xml:space="preserve">— при включенной единой форме ввода автоматически подставляет место хранения по отсканированному штрих-коду полки, применяя найденное место ко всем последующим книгам до сканирования новой полки.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Если отсканированный штрих-код полки не попадает ни в один из заданных диапазонов, система не распознает его как полку. Он будет обработан как штрих-код книги (что приведет к ошибке «ЗАПИСЬ НЕ НАЙДЕНА»), а все следующие за ним книги будут ошибочно привязаны к предыдущей распознанной полке (или вызовут ошибку, если полка еще не была задана).</w:t>
      </w:r>
      <w:r>
        <w:t xml:space="preserve"> </w:t>
      </w:r>
      <w:r>
        <w:t xml:space="preserve">Также убедитесь, что диапазоны штрих-кодов полок не пересекаются с инвентарными номерами или штрих-кодами книг, иначе книга может быть ошибочно распознана как полка.</w:t>
      </w:r>
      <w:r>
        <w:t xml:space="preserve"> </w:t>
      </w:r>
      <w:r>
        <w:t xml:space="preserve">@@@</w:t>
      </w:r>
    </w:p>
    <w:bookmarkEnd w:id="108"/>
    <w:bookmarkStart w:id="109" w:name="Xdbcb84f4e030cc3552da8b704b9cc0d7ef91eff"/>
    <w:p>
      <w:pPr>
        <w:pStyle w:val="Heading4"/>
      </w:pPr>
      <w:r>
        <w:t xml:space="preserve">8. Важные технические особенности (для системного администратора)</w:t>
      </w:r>
    </w:p>
    <w:p>
      <w:pPr>
        <w:pStyle w:val="FirstParagraph"/>
      </w:pPr>
      <w:r>
        <w:t xml:space="preserve">Хотя большинство параметров гибко настраивается, некоторые поисковые алгоритмы проверки жестко зашиты в коде модуля. Для корректной работы сервиса убедитесь, что ваши поисковые словари (FST) в базах данных соответствуют следующим требованиям: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изданий в электронном каталоге:</w:t>
      </w:r>
      <w:r>
        <w:t xml:space="preserve"> </w:t>
      </w:r>
      <w:r>
        <w:t xml:space="preserve">При сканировании система ищет библиографическую запись в выбранных базах каталога с использованием префиксов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(штрих-код)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(инвентарный номер). После нахождения записи обновляется то повторение поля 910, где значение совпало с настроенным подполем штрих-кода (</w:t>
      </w:r>
      <w:r>
        <w:rPr>
          <w:rStyle w:val="VerbatimChar"/>
        </w:rPr>
        <w:t xml:space="preserve">checkFondBarcodeSubfield</w:t>
      </w:r>
      <w:r>
        <w:t xml:space="preserve">) или инвентарного номера (</w:t>
      </w:r>
      <w:r>
        <w:rPr>
          <w:rStyle w:val="VerbatimChar"/>
        </w:rPr>
        <w:t xml:space="preserve">checkFondInvNumSubfield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сводного описания журнала:</w:t>
      </w:r>
      <w:r>
        <w:t xml:space="preserve"> </w:t>
      </w:r>
      <w:r>
        <w:t xml:space="preserve">При сканировании номеров журналов (тип записи</w:t>
      </w:r>
      <w:r>
        <w:t xml:space="preserve"> </w:t>
      </w:r>
      <w:r>
        <w:rPr>
          <w:rStyle w:val="VerbatimChar"/>
        </w:rPr>
        <w:t xml:space="preserve">NJ</w:t>
      </w:r>
      <w:r>
        <w:t xml:space="preserve">) система для полноты отображения пытается найти сводное описание журнала по префиксу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 </w:t>
      </w:r>
      <w:r>
        <w:t xml:space="preserve">(ищется шифр, указанный в поле 933 номера). Из найденной сводной записи извлекаются город (</w:t>
      </w:r>
      <w:r>
        <w:rPr>
          <w:rStyle w:val="VerbatimChar"/>
        </w:rPr>
        <w:t xml:space="preserve">210^A</w:t>
      </w:r>
      <w:r>
        <w:t xml:space="preserve">) и первые сведения об ответственности (</w:t>
      </w:r>
      <w:r>
        <w:rPr>
          <w:rStyle w:val="VerbatimChar"/>
        </w:rPr>
        <w:t xml:space="preserve">200^A</w:t>
      </w:r>
      <w:r>
        <w:t xml:space="preserve">), а год, том и номер берутся из самой записи экземпляра (</w:t>
      </w:r>
      <w:r>
        <w:rPr>
          <w:rStyle w:val="VerbatimChar"/>
        </w:rPr>
        <w:t xml:space="preserve">934</w:t>
      </w:r>
      <w:r>
        <w:t xml:space="preserve">,</w:t>
      </w:r>
      <w:r>
        <w:t xml:space="preserve"> </w:t>
      </w:r>
      <w:r>
        <w:rPr>
          <w:rStyle w:val="VerbatimChar"/>
        </w:rPr>
        <w:t xml:space="preserve">935</w:t>
      </w:r>
      <w:r>
        <w:t xml:space="preserve">,</w:t>
      </w:r>
      <w:r>
        <w:t xml:space="preserve"> </w:t>
      </w:r>
      <w:r>
        <w:rPr>
          <w:rStyle w:val="VerbatimChar"/>
        </w:rPr>
        <w:t xml:space="preserve">936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Различение ошибок отсутствия:</w:t>
      </w:r>
      <w:r>
        <w:t xml:space="preserve"> </w:t>
      </w:r>
      <w:r>
        <w:t xml:space="preserve">Если библиографическая запись вовсе не найдена по префиксам</w:t>
      </w:r>
      <w:r>
        <w:t xml:space="preserve"> </w:t>
      </w:r>
      <w:r>
        <w:rPr>
          <w:rStyle w:val="VerbatimChar"/>
        </w:rPr>
        <w:t xml:space="preserve">IN=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B=</w:t>
      </w:r>
      <w:r>
        <w:t xml:space="preserve">, система выдаст ошибку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 Если же запись найдена, но внутри неё нет повторения 910 поля с указанным штрих-кодом/инвентарным номером, ошибка будет детализирована как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Дублирование штрих-кодов в записи:</w:t>
      </w:r>
      <w:r>
        <w:t xml:space="preserve"> </w:t>
      </w:r>
      <w:r>
        <w:t xml:space="preserve">Если в библиографической записи из-за ошибки каталогизации заведено несколько повторений 910 поля с одинаковым штрих-кодом или инвентарным номером, система обновит статус и данные проверки только у</w:t>
      </w:r>
      <w:r>
        <w:t xml:space="preserve"> </w:t>
      </w:r>
      <w:r>
        <w:rPr>
          <w:b/>
          <w:bCs/>
        </w:rPr>
        <w:t xml:space="preserve">последнего</w:t>
      </w:r>
      <w:r>
        <w:t xml:space="preserve"> </w:t>
      </w:r>
      <w:r>
        <w:t xml:space="preserve">найденного повторения.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Формирование отчета:</w:t>
      </w:r>
      <w:r>
        <w:t xml:space="preserve"> </w:t>
      </w:r>
      <w:r>
        <w:t xml:space="preserve">Для успешной генерации отчета по фонду (</w:t>
      </w:r>
      <w:r>
        <w:rPr>
          <w:rStyle w:val="VerbatimChar"/>
        </w:rPr>
        <w:t xml:space="preserve">ProvFondReport</w:t>
      </w:r>
      <w:r>
        <w:t xml:space="preserve">) в электронном каталоге должен присутствовать поисковый индекс с префиксом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(Место хранения), а для полного учета уже проверенных экземпляров — индекс фактического места хранения с префиксом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. После изменения FST соответствующие базы нужно переиндексировать. Для стабильной работы при больших объемах данных система запрашивает записи порциями до 5000 штук и продолжает чтение до конца найденной выборки.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Фильтрация отчета по полке:</w:t>
      </w:r>
      <w:r>
        <w:t xml:space="preserve"> </w:t>
      </w:r>
      <w:r>
        <w:t xml:space="preserve">При запросе отчета с указанием номера полки фильтрация по ней происходит программно (в оперативной памяти). Система сначала загружает все записи выбранного места хранения по индексам</w:t>
      </w:r>
      <w:r>
        <w:t xml:space="preserve"> </w:t>
      </w:r>
      <w:r>
        <w:rPr>
          <w:rStyle w:val="VerbatimChar"/>
        </w:rPr>
        <w:t xml:space="preserve">MHR=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INPF=</w:t>
      </w:r>
      <w:r>
        <w:t xml:space="preserve">, а затем отсеивает экземпляры с неподходящей полкой. При значительных объемах фонда в одном месте хранения это может требовать дополнительного времени (что объясняет системное увеличение лимита времени выполнения отчета до 10 минут).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Поиск информации о выдаче в базе читателей:</w:t>
      </w:r>
      <w:r>
        <w:t xml:space="preserve"> </w:t>
      </w:r>
      <w:r>
        <w:t xml:space="preserve">При формировании отчета для проверки корректности статуса «Выдано» (Статус 1), система ищет читателя с данным экземпляром на руках по префиксам</w:t>
      </w:r>
      <w:r>
        <w:t xml:space="preserve"> </w:t>
      </w:r>
      <w:r>
        <w:rPr>
          <w:rStyle w:val="VerbatimChar"/>
        </w:rPr>
        <w:t xml:space="preserve">H=</w:t>
      </w:r>
      <w:r>
        <w:t xml:space="preserve"> </w:t>
      </w:r>
      <w:r>
        <w:t xml:space="preserve">(по штрих-коду) и</w:t>
      </w:r>
      <w:r>
        <w:t xml:space="preserve"> </w:t>
      </w:r>
      <w:r>
        <w:rPr>
          <w:rStyle w:val="VerbatimChar"/>
        </w:rPr>
        <w:t xml:space="preserve">B=</w:t>
      </w:r>
      <w:r>
        <w:t xml:space="preserve"> </w:t>
      </w:r>
      <w:r>
        <w:t xml:space="preserve">(по инвентарному номеру) среди выданной литературы. Название базы читателей берется из настроек модуля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 а если не задано — по умолчанию используется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. Если книга числится выданной, но была найдена при проверке на полке, система сверяет дату выдачи (извлекается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записи читателя) с датой проверки. Если книга выдана в день проверки или позже, это не фиксируется как ошибка (так как книга могла быть отсканирована утром, а выдана читателю днем). Если дата выдачи отсутствует или имеет некорректный формат, система пометит такую книгу как ошибочную (найденную на полке). Имя читателя в отчете строится из полей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 а при их отсутствии — из</w:t>
      </w:r>
      <w:r>
        <w:t xml:space="preserve"> </w:t>
      </w:r>
      <w:r>
        <w:rPr>
          <w:rStyle w:val="VerbatimChar"/>
        </w:rPr>
        <w:t xml:space="preserve">30^A</w:t>
      </w:r>
      <w:r>
        <w:t xml:space="preserve"> </w:t>
      </w:r>
      <w:r>
        <w:t xml:space="preserve">(иначе выводится «Неизвестный читатель» с указанием содержимого поля</w:t>
      </w:r>
      <w:r>
        <w:t xml:space="preserve"> </w:t>
      </w:r>
      <w:r>
        <w:rPr>
          <w:rStyle w:val="VerbatimChar"/>
        </w:rPr>
        <w:t xml:space="preserve">30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формата даты выдачи:</w:t>
      </w:r>
      <w:r>
        <w:t xml:space="preserve"> </w:t>
      </w:r>
      <w:r>
        <w:t xml:space="preserve">При извлечении даты выдачи из подполей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40^d</w:t>
      </w:r>
      <w:r>
        <w:t xml:space="preserve"> </w:t>
      </w:r>
      <w:r>
        <w:t xml:space="preserve">система удаляет все нечисловые символы и берет первые 8 цифр. Для корректного сравнения дата в базе должна начинаться с года (в формате</w:t>
      </w:r>
      <w:r>
        <w:t xml:space="preserve"> </w:t>
      </w:r>
      <w:r>
        <w:rPr>
          <w:rStyle w:val="VerbatimChar"/>
        </w:rPr>
        <w:t xml:space="preserve">YYYYMMDD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YYYY.MM.DD</w:t>
      </w:r>
      <w:r>
        <w:t xml:space="preserve">). Использование форматов вида</w:t>
      </w:r>
      <w:r>
        <w:t xml:space="preserve"> </w:t>
      </w:r>
      <w:r>
        <w:rPr>
          <w:rStyle w:val="VerbatimChar"/>
        </w:rPr>
        <w:t xml:space="preserve">DD.MM.YYYY</w:t>
      </w:r>
      <w:r>
        <w:t xml:space="preserve"> </w:t>
      </w:r>
      <w:r>
        <w:t xml:space="preserve">приведет к ошибкам валидации дат (в том числе к ложным срабатываниям об ошибках выдачи).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Кросс-проверка штрих-кодов в БД читателей:</w:t>
      </w:r>
      <w:r>
        <w:t xml:space="preserve"> </w:t>
      </w:r>
      <w:r>
        <w:t xml:space="preserve">В отчете при сопоставлении найденного читателя система использует дополнительную страховку: штрих-код экземпляра из ЭК сверяется не только со штрих-кодом в читательском билете (</w:t>
      </w:r>
      <w:r>
        <w:rPr>
          <w:rStyle w:val="VerbatimChar"/>
        </w:rPr>
        <w:t xml:space="preserve">40^H</w:t>
      </w:r>
      <w:r>
        <w:t xml:space="preserve">), но и с инвентарным номером читательского билета (</w:t>
      </w:r>
      <w:r>
        <w:rPr>
          <w:rStyle w:val="VerbatimChar"/>
        </w:rPr>
        <w:t xml:space="preserve">40^B</w:t>
      </w:r>
      <w:r>
        <w:t xml:space="preserve">). Это предотвращает ложные ошибки, если при выдаче штрих-код был ошибочно занесен в подполе инвентарного номера. В случае полного отсутствия инвентарного номера и штрих-кода у самого издания, в отчете ему будет присвоен технический идентификатор</w:t>
      </w:r>
      <w:r>
        <w:t xml:space="preserve"> </w:t>
      </w:r>
      <w:r>
        <w:rPr>
          <w:rStyle w:val="VerbatimChar"/>
        </w:rPr>
        <w:t xml:space="preserve">Без номера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Автоматический зачет выданных изданий:</w:t>
      </w:r>
      <w:r>
        <w:t xml:space="preserve"> </w:t>
      </w:r>
      <w:r>
        <w:t xml:space="preserve">Если в отчете экземпляр числится как выданный (статус 1) и за ним найдена запись читателя, система автоматически перенесет его в список «Найденные / Проверенные» даже в том случае, если его штрих-код</w:t>
      </w:r>
      <w:r>
        <w:t xml:space="preserve"> </w:t>
      </w:r>
      <w:r>
        <w:rPr>
          <w:b/>
          <w:bCs/>
        </w:rPr>
        <w:t xml:space="preserve">вообще не сканировался</w:t>
      </w:r>
      <w:r>
        <w:t xml:space="preserve"> </w:t>
      </w:r>
      <w:r>
        <w:t xml:space="preserve">в ходе проверки.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Статусы экземпляров:</w:t>
      </w:r>
      <w:r>
        <w:t xml:space="preserve"> </w:t>
      </w:r>
      <w:r>
        <w:t xml:space="preserve">Аналитический отчет (</w:t>
      </w:r>
      <w:r>
        <w:rPr>
          <w:rStyle w:val="VerbatimChar"/>
        </w:rPr>
        <w:t xml:space="preserve">ProvFondReport</w:t>
      </w:r>
      <w:r>
        <w:t xml:space="preserve">) опирается на системный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и базовые коды статусов для выявления проблем: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(или пустое значение) — свободен/на полке,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— выдан читателю,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— утерян,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— списан. При проверке статусов в 910 поле система учитывает как заглавное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, так и строчное</w:t>
      </w:r>
      <w:r>
        <w:t xml:space="preserve"> </w:t>
      </w:r>
      <w:r>
        <w:rPr>
          <w:rStyle w:val="VerbatimChar"/>
        </w:rPr>
        <w:t xml:space="preserve">^a</w:t>
      </w:r>
      <w:r>
        <w:t xml:space="preserve">. Если справочник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 </w:t>
      </w:r>
      <w:r>
        <w:t xml:space="preserve">отсутствует или статус в нем не найден, пустой статус (или</w:t>
      </w:r>
      <w:r>
        <w:t xml:space="preserve"> </w:t>
      </w:r>
      <w:r>
        <w:rPr>
          <w:rStyle w:val="VerbatimChar"/>
        </w:rPr>
        <w:t xml:space="preserve">0</w:t>
      </w:r>
      <w:r>
        <w:t xml:space="preserve">) будет отображен как «Свободен (на полке)», а неизвестный код — как «Статус N».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данных при экспорте в CSV:</w:t>
      </w:r>
      <w:r>
        <w:t xml:space="preserve"> </w:t>
      </w:r>
      <w:r>
        <w:t xml:space="preserve">При выгрузке отчета</w:t>
      </w:r>
      <w:r>
        <w:t xml:space="preserve"> </w:t>
      </w:r>
      <w:r>
        <w:rPr>
          <w:rStyle w:val="VerbatimChar"/>
        </w:rPr>
        <w:t xml:space="preserve">ProvFondReport</w:t>
      </w:r>
      <w:r>
        <w:t xml:space="preserve"> </w:t>
      </w:r>
      <w:r>
        <w:t xml:space="preserve">в формате CSV библиографическое описание (которое возвращается форматом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) автоматически очищается от HTML-тегов (</w:t>
      </w:r>
      <w:r>
        <w:rPr>
          <w:rStyle w:val="VerbatimChar"/>
        </w:rPr>
        <w:t xml:space="preserve">strip_tags</w:t>
      </w:r>
      <w:r>
        <w:t xml:space="preserve">) и HTML-сущностей, чтобы текст в Excel отображался без служебной разметки.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Очистка вводимых данных:</w:t>
      </w:r>
      <w:r>
        <w:t xml:space="preserve"> </w:t>
      </w:r>
      <w:r>
        <w:t xml:space="preserve">При обработке введенного вручную списка (или загруженного из файла) система автоматически обрезает пробелы и невидимые символы по краям (</w:t>
      </w:r>
      <w:r>
        <w:rPr>
          <w:rStyle w:val="VerbatimChar"/>
        </w:rPr>
        <w:t xml:space="preserve">trim()</w:t>
      </w:r>
      <w:r>
        <w:t xml:space="preserve">), а также игнорирует пустые строки. Это гарантирует бесперебойную работу при смешанном формате окончаний строк (Windows/Linux) в файлах ТСД.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Тестирование звукового сигнала:</w:t>
      </w:r>
      <w:r>
        <w:t xml:space="preserve"> </w:t>
      </w:r>
      <w:r>
        <w:t xml:space="preserve">Кнопка управления звуком на странице проверки фонда при ручном переключении воспроизводит короткий тестовый сигнал (синусоида 440 Гц, 0.1 с). Это позволяет проверить работоспособность аудио в браузере без необходимости искусственно вызывать реальную ошибку (которая звучит дольше и с использованием формы волны</w:t>
      </w:r>
      <w:r>
        <w:t xml:space="preserve"> </w:t>
      </w:r>
      <w:r>
        <w:rPr>
          <w:rStyle w:val="VerbatimChar"/>
        </w:rPr>
        <w:t xml:space="preserve">sawtooth</w:t>
      </w:r>
      <w:r>
        <w:t xml:space="preserve">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Физическое хранение архива:</w:t>
      </w:r>
      <w:r>
        <w:t xml:space="preserve"> </w:t>
      </w:r>
      <w:r>
        <w:t xml:space="preserve">История проведенных сеансов сохраняется в базу SQLite независимо от основного каталога. Файл базы данных располагается на сервере по пути</w:t>
      </w:r>
      <w:r>
        <w:t xml:space="preserve"> </w:t>
      </w:r>
      <w:r>
        <w:rPr>
          <w:rStyle w:val="VerbatimChar"/>
        </w:rPr>
        <w:t xml:space="preserve">[DataPath]/SQLiteData/ProvFondArchive/ProvFondArchive.db</w:t>
      </w:r>
      <w:r>
        <w:t xml:space="preserve">. При необходимости его можно архивировать или удалять для полного сброса.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Режим журналирования базы архива (WAL):</w:t>
      </w:r>
      <w:r>
        <w:t xml:space="preserve"> </w:t>
      </w:r>
      <w:r>
        <w:t xml:space="preserve">Так как SQLite база архива инициализируется в режиме Write-Ahead Logging (</w:t>
      </w:r>
      <w:r>
        <w:rPr>
          <w:rStyle w:val="VerbatimChar"/>
        </w:rPr>
        <w:t xml:space="preserve">PRAGMA journal_mode=WAL;</w:t>
      </w:r>
      <w:r>
        <w:t xml:space="preserve">), рядом с файлом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 </w:t>
      </w:r>
      <w:r>
        <w:t xml:space="preserve">будут автоматически создаваться временные файлы</w:t>
      </w:r>
      <w:r>
        <w:t xml:space="preserve"> </w:t>
      </w:r>
      <w:r>
        <w:rPr>
          <w:rStyle w:val="VerbatimChar"/>
        </w:rPr>
        <w:t xml:space="preserve">ProvFondArchive.db-wal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ProvFondArchive.db-shm</w:t>
      </w:r>
      <w:r>
        <w:t xml:space="preserve">. При ручном резервном копировании базы администратору необходимо копировать все три файла.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Разблокировка Web Audio API:</w:t>
      </w:r>
      <w:r>
        <w:t xml:space="preserve"> </w:t>
      </w:r>
      <w:r>
        <w:t xml:space="preserve">Так как современные браузеры блокируют автоматическое воспроизведение звука, в скрипт встроен механизм принудительной разблокировки аудиоконтекста (</w:t>
      </w:r>
      <w:r>
        <w:rPr>
          <w:rStyle w:val="VerbatimChar"/>
        </w:rPr>
        <w:t xml:space="preserve">AudioContext</w:t>
      </w:r>
      <w:r>
        <w:t xml:space="preserve">) при первом клике или нажатии любой клавиши на странице.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Таймауты веб-сервера:</w:t>
      </w:r>
      <w:r>
        <w:t xml:space="preserve"> </w:t>
      </w:r>
      <w:r>
        <w:t xml:space="preserve">Скрипты проверки штрих-кодов (</w:t>
      </w:r>
      <w:r>
        <w:rPr>
          <w:rStyle w:val="VerbatimChar"/>
        </w:rPr>
        <w:t xml:space="preserve">ShowCheckFondForm.inc</w:t>
      </w:r>
      <w:r>
        <w:t xml:space="preserve">) и генерации отчетов (</w:t>
      </w:r>
      <w:r>
        <w:rPr>
          <w:rStyle w:val="VerbatimChar"/>
        </w:rPr>
        <w:t xml:space="preserve">ProvFondReport.page</w:t>
      </w:r>
      <w:r>
        <w:t xml:space="preserve">) могут выполняться долго. Они принудительно увеличивают внутренний лимит выполнения PHP до</w:t>
      </w:r>
      <w:r>
        <w:t xml:space="preserve"> </w:t>
      </w:r>
      <w:r>
        <w:rPr>
          <w:b/>
          <w:bCs/>
        </w:rPr>
        <w:t xml:space="preserve">10 минут</w:t>
      </w:r>
      <w:r>
        <w:t xml:space="preserve"> </w:t>
      </w:r>
      <w:r>
        <w:t xml:space="preserve">(</w:t>
      </w:r>
      <w:r>
        <w:rPr>
          <w:rStyle w:val="VerbatimChar"/>
        </w:rPr>
        <w:t xml:space="preserve">ini_set('max_execution_time', 10 * 60);</w:t>
      </w:r>
      <w:r>
        <w:t xml:space="preserve">). Системному администратору нужно убедиться, что таймауты фронтенд-сервера (например,</w:t>
      </w:r>
      <w:r>
        <w:t xml:space="preserve"> </w:t>
      </w:r>
      <w:r>
        <w:rPr>
          <w:rStyle w:val="VerbatimChar"/>
        </w:rPr>
        <w:t xml:space="preserve">proxy_read_timeout</w:t>
      </w:r>
      <w:r>
        <w:t xml:space="preserve"> </w:t>
      </w:r>
      <w:r>
        <w:t xml:space="preserve">в Nginx или</w:t>
      </w:r>
      <w:r>
        <w:t xml:space="preserve"> </w:t>
      </w:r>
      <w:r>
        <w:rPr>
          <w:rStyle w:val="VerbatimChar"/>
        </w:rPr>
        <w:t xml:space="preserve">TimeOut</w:t>
      </w:r>
      <w:r>
        <w:t xml:space="preserve"> </w:t>
      </w:r>
      <w:r>
        <w:t xml:space="preserve">в Apache) также допускают ожидание ответа до 600 секунд, чтобы пользователи не сталкивались с ошибкой</w:t>
      </w:r>
      <w:r>
        <w:t xml:space="preserve"> </w:t>
      </w:r>
      <w:r>
        <w:rPr>
          <w:rStyle w:val="VerbatimChar"/>
        </w:rPr>
        <w:t xml:space="preserve">504 Gateway Time-out</w:t>
      </w:r>
      <w:r>
        <w:t xml:space="preserve">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Загрузка штрих-кодов из файла:</w:t>
      </w:r>
      <w:r>
        <w:t xml:space="preserve"> </w:t>
      </w:r>
      <w:r>
        <w:t xml:space="preserve">Прикрепленный пользователем текстовый файл (</w:t>
      </w:r>
      <w:r>
        <w:rPr>
          <w:rStyle w:val="VerbatimChar"/>
        </w:rPr>
        <w:t xml:space="preserve">.txt</w:t>
      </w:r>
      <w:r>
        <w:t xml:space="preserve">) обрабатывается путем прямого добавления его содержимого в конец списка, введенного в текстовое поле вручную, через перенос строки (</w:t>
      </w:r>
      <w:r>
        <w:rPr>
          <w:rStyle w:val="VerbatimChar"/>
        </w:rPr>
        <w:t xml:space="preserve">\n</w:t>
      </w:r>
      <w:r>
        <w:t xml:space="preserve">). К нему применяются ровно те же правила разбора, что и к тексту в форме (включая работу режима единой формы).</w:t>
      </w:r>
    </w:p>
    <w:p>
      <w:pPr>
        <w:pStyle w:val="Compact"/>
        <w:numPr>
          <w:ilvl w:val="0"/>
          <w:numId w:val="1073"/>
        </w:numPr>
      </w:pPr>
      <w:r>
        <w:rPr>
          <w:b/>
          <w:bCs/>
        </w:rPr>
        <w:t xml:space="preserve">Оптимизация при отсутствии полки:</w:t>
      </w:r>
      <w:r>
        <w:t xml:space="preserve"> </w:t>
      </w:r>
      <w:r>
        <w:t xml:space="preserve">В едином режиме ввода, если в массиве штрих-кодов встречаются книги до того, как была отсканирована первая корректная полка, скрипт вообще не выполняет запросы к БД для этих книг, сразу помечая их ошибкой</w:t>
      </w:r>
      <w:r>
        <w:t xml:space="preserve"> </w:t>
      </w:r>
      <w:r>
        <w:rPr>
          <w:rStyle w:val="VerbatimChar"/>
        </w:rPr>
        <w:t xml:space="preserve">Для этой книги не была указана полка</w:t>
      </w:r>
      <w:r>
        <w:t xml:space="preserve">, что существенно экономит ресурсы сервера.</w:t>
      </w:r>
    </w:p>
    <w:p>
      <w:pPr>
        <w:pStyle w:val="FirstParagraph"/>
      </w:pPr>
      <w:r>
        <w:t xml:space="preserve">Если в вашей библиотеке настроены другие префиксы для поисковых словарей, инвентаризация не сможет находить сканируемые записи.</w:t>
      </w:r>
    </w:p>
    <w:bookmarkEnd w:id="109"/>
    <w:bookmarkEnd w:id="110"/>
    <w:bookmarkEnd w:id="111"/>
    <w:bookmarkStart w:id="135" w:name="тест-кейсы-проверка-фонда"/>
    <w:p>
      <w:pPr>
        <w:pStyle w:val="Heading2"/>
      </w:pPr>
      <w:r>
        <w:t xml:space="preserve">Тест-кейсы: Проверка фонда</w:t>
      </w:r>
    </w:p>
    <w:p>
      <w:pPr>
        <w:pStyle w:val="FirstParagraph"/>
      </w:pPr>
      <w:r>
        <w:t xml:space="preserve">В данном документе описан набор тест-кейсов для тестирования функционала «Проверка фонда», включая единую форму ввода, логику работы архива, генерацию отчетов и звуковые уведомления.</w:t>
      </w:r>
    </w:p>
    <w:bookmarkStart w:id="114" w:name="Xffc7e52225fd8caa59209b3f33d79d6a921cc45"/>
    <w:p>
      <w:pPr>
        <w:pStyle w:val="Heading3"/>
      </w:pPr>
      <w:r>
        <w:t xml:space="preserve">1. Модуль 1: Настройки администратора и инициализация</w:t>
      </w:r>
    </w:p>
    <w:bookmarkStart w:id="112" w:name="tc-1.1-включение-единой-формы-ввода"/>
    <w:p>
      <w:pPr>
        <w:pStyle w:val="Heading4"/>
      </w:pPr>
      <w:r>
        <w:t xml:space="preserve">1.1. TC-1.1: Включение единой формы ввода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Пользователь авторизован в АРМ Администратор.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настройки модуля АРМ Комплектатор. В блоке «Настройка формы проверки фонда» установите галочку «Использовать единую форму проверки фонда». Сохраните настройки. Перейдите в АРМ Комплектатор -&gt; Проверка фонда.</w:t>
      </w:r>
    </w:p>
    <w:p>
      <w:pPr>
        <w:pStyle w:val="Compact"/>
        <w:numPr>
          <w:ilvl w:val="0"/>
          <w:numId w:val="107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Вместо раздельных полей отображается одно большое текстовое поле «Введите отсканированные коды полки и книг на ней».</w:t>
      </w:r>
    </w:p>
    <w:bookmarkEnd w:id="112"/>
    <w:bookmarkStart w:id="113" w:name="Xaadd38af531cbe91d3ce7a47638c03361dbd935"/>
    <w:p>
      <w:pPr>
        <w:pStyle w:val="Heading4"/>
      </w:pPr>
      <w:r>
        <w:t xml:space="preserve">1.2. TC-1.2: Настройка правил определения мест хранения (MHR)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настройках</w:t>
      </w:r>
      <w:r>
        <w:t xml:space="preserve"> </w:t>
      </w:r>
      <w:r>
        <w:rPr>
          <w:rStyle w:val="VerbatimChar"/>
        </w:rPr>
        <w:t xml:space="preserve">shelfMhrRules</w:t>
      </w:r>
      <w:r>
        <w:t xml:space="preserve"> </w:t>
      </w:r>
      <w:r>
        <w:t xml:space="preserve">добавьте правило: Начало диапазона</w:t>
      </w:r>
      <w:r>
        <w:t xml:space="preserve"> </w:t>
      </w:r>
      <w:r>
        <w:rPr>
          <w:rStyle w:val="VerbatimChar"/>
        </w:rPr>
        <w:t xml:space="preserve">00000010</w:t>
      </w:r>
      <w:r>
        <w:t xml:space="preserve">, Конец диапазона</w:t>
      </w:r>
      <w:r>
        <w:t xml:space="preserve"> </w:t>
      </w:r>
      <w:r>
        <w:rPr>
          <w:rStyle w:val="VerbatimChar"/>
        </w:rPr>
        <w:t xml:space="preserve">00000020</w:t>
      </w:r>
      <w:r>
        <w:t xml:space="preserve">, Место хранения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. Сохраните настройки.</w:t>
      </w:r>
    </w:p>
    <w:p>
      <w:pPr>
        <w:pStyle w:val="Compact"/>
        <w:numPr>
          <w:ilvl w:val="0"/>
          <w:numId w:val="107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Настройки успешно сохранены. Функция определения места хранения корректно возвращает</w:t>
      </w:r>
      <w:r>
        <w:t xml:space="preserve"> </w:t>
      </w:r>
      <w:r>
        <w:rPr>
          <w:rStyle w:val="VerbatimChar"/>
        </w:rPr>
        <w:t xml:space="preserve">Фонд А</w:t>
      </w:r>
      <w:r>
        <w:t xml:space="preserve"> </w:t>
      </w:r>
      <w:r>
        <w:t xml:space="preserve">для штрих-кода полки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.</w:t>
      </w:r>
    </w:p>
    <w:bookmarkEnd w:id="113"/>
    <w:bookmarkEnd w:id="114"/>
    <w:bookmarkStart w:id="120" w:name="X65912e4eeb3407324778eb7ba2057573e603a6a"/>
    <w:p>
      <w:pPr>
        <w:pStyle w:val="Heading3"/>
      </w:pPr>
      <w:r>
        <w:t xml:space="preserve">2. Модуль 2: Процесс сканирования и обработки (Единая форма)</w:t>
      </w:r>
    </w:p>
    <w:bookmarkStart w:id="115" w:name="X0318be8f0ff271d03f31c46c2871ee6b0810b1e"/>
    <w:p>
      <w:pPr>
        <w:pStyle w:val="Heading4"/>
      </w:pPr>
      <w:r>
        <w:t xml:space="preserve">2.1. TC-2.1: Успешная проверка книг на полке (Happy Path)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Единая форма включена. В ЭК есть книги со штрих-кодами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текстовое поле введите с новой строки:</w:t>
      </w:r>
      <w:r>
        <w:t xml:space="preserve"> </w:t>
      </w:r>
      <w:r>
        <w:rPr>
          <w:rStyle w:val="VerbatimChar"/>
        </w:rPr>
        <w:t xml:space="preserve">00000015</w:t>
      </w:r>
      <w:r>
        <w:t xml:space="preserve"> </w:t>
      </w:r>
      <w:r>
        <w:t xml:space="preserve">(штрих-код полки),</w:t>
      </w:r>
      <w:r>
        <w:t xml:space="preserve"> </w:t>
      </w:r>
      <w:r>
        <w:rPr>
          <w:rStyle w:val="VerbatimChar"/>
        </w:rPr>
        <w:t xml:space="preserve">B001</w:t>
      </w:r>
      <w:r>
        <w:t xml:space="preserve">,</w:t>
      </w:r>
      <w:r>
        <w:t xml:space="preserve"> </w:t>
      </w:r>
      <w:r>
        <w:rPr>
          <w:rStyle w:val="VerbatimChar"/>
        </w:rPr>
        <w:t xml:space="preserve">B002</w:t>
      </w:r>
      <w:r>
        <w:t xml:space="preserve">. Нажмите «Отправить».</w:t>
      </w:r>
    </w:p>
    <w:p>
      <w:pPr>
        <w:pStyle w:val="Compact"/>
        <w:numPr>
          <w:ilvl w:val="0"/>
          <w:numId w:val="107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Таблица результатов содержит 2 строки со статусом «OK». В поле 910 этих книг обновлена дата, ФИО текущего пользователя, подполе места хранения и номер полки.</w:t>
      </w:r>
    </w:p>
    <w:bookmarkEnd w:id="115"/>
    <w:bookmarkStart w:id="116" w:name="tc-2.2-ошибка-книга-без-указания-полки"/>
    <w:p>
      <w:pPr>
        <w:pStyle w:val="Heading4"/>
      </w:pPr>
      <w:r>
        <w:t xml:space="preserve">2.2. TC-2.2: Ошибка: книга без указания полки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Очистите текстовое поле. Введите штрих-код книги</w:t>
      </w:r>
      <w:r>
        <w:t xml:space="preserve"> </w:t>
      </w:r>
      <w:r>
        <w:rPr>
          <w:rStyle w:val="VerbatimChar"/>
        </w:rPr>
        <w:t xml:space="preserve">B001</w:t>
      </w:r>
      <w:r>
        <w:t xml:space="preserve"> </w:t>
      </w:r>
      <w:r>
        <w:t xml:space="preserve">без предшествующего штрих-кода полки. Нажмите «Отправить».</w:t>
      </w:r>
    </w:p>
    <w:p>
      <w:pPr>
        <w:pStyle w:val="Compact"/>
        <w:numPr>
          <w:ilvl w:val="0"/>
          <w:numId w:val="107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выводится ошибка «Для этой книги не была указана полка». Поиск по БД для данного штрих-кода не выполняется. Строка добавляется в список ошибок.</w:t>
      </w:r>
    </w:p>
    <w:bookmarkEnd w:id="116"/>
    <w:bookmarkStart w:id="117" w:name="X124e4e3c96c21e48bf926a120050959da93bd1f"/>
    <w:p>
      <w:pPr>
        <w:pStyle w:val="Heading4"/>
      </w:pPr>
      <w:r>
        <w:t xml:space="preserve">2.3. TC-2.3: Обработка нескольких полок за один сеанс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последовательно:</w:t>
      </w:r>
      <w:r>
        <w:t xml:space="preserve"> </w:t>
      </w:r>
      <w:r>
        <w:rPr>
          <w:rStyle w:val="VerbatimChar"/>
        </w:rPr>
        <w:t xml:space="preserve">Полка_1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,</w:t>
      </w:r>
      <w:r>
        <w:t xml:space="preserve"> </w:t>
      </w:r>
      <w:r>
        <w:rPr>
          <w:rStyle w:val="VerbatimChar"/>
        </w:rPr>
        <w:t xml:space="preserve">Полка_2</w:t>
      </w:r>
      <w:r>
        <w:t xml:space="preserve">,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. Нажмите «Отправить».</w:t>
      </w:r>
    </w:p>
    <w:p>
      <w:pPr>
        <w:pStyle w:val="Compact"/>
        <w:numPr>
          <w:ilvl w:val="0"/>
          <w:numId w:val="107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rPr>
          <w:rStyle w:val="VerbatimChar"/>
        </w:rPr>
        <w:t xml:space="preserve">Книга_1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Полки_1</w:t>
      </w:r>
      <w:r>
        <w:t xml:space="preserve">.</w:t>
      </w:r>
      <w:r>
        <w:t xml:space="preserve"> </w:t>
      </w:r>
      <w:r>
        <w:rPr>
          <w:rStyle w:val="VerbatimChar"/>
        </w:rPr>
        <w:t xml:space="preserve">Книга_2</w:t>
      </w:r>
      <w:r>
        <w:t xml:space="preserve"> </w:t>
      </w:r>
      <w:r>
        <w:t xml:space="preserve">получает данные и место хранения</w:t>
      </w:r>
      <w:r>
        <w:t xml:space="preserve"> </w:t>
      </w:r>
      <w:r>
        <w:rPr>
          <w:rStyle w:val="VerbatimChar"/>
        </w:rPr>
        <w:t xml:space="preserve">Полки_2</w:t>
      </w:r>
      <w:r>
        <w:t xml:space="preserve">.</w:t>
      </w:r>
    </w:p>
    <w:bookmarkEnd w:id="117"/>
    <w:bookmarkStart w:id="118" w:name="Xec6cddcefc6a7096d92e1e4e0f62f58f47411a4"/>
    <w:p>
      <w:pPr>
        <w:pStyle w:val="Heading4"/>
      </w:pPr>
      <w:r>
        <w:t xml:space="preserve">2.4. TC-2.4: Неизвестный штрих-код книги / Запись не найдена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Введите валидный штрих-код полки, затем несуществующий штрих-код книги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. Нажмите «Отправить».</w:t>
      </w:r>
    </w:p>
    <w:p>
      <w:pPr>
        <w:pStyle w:val="Compact"/>
        <w:numPr>
          <w:ilvl w:val="0"/>
          <w:numId w:val="107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результатов для</w:t>
      </w:r>
      <w:r>
        <w:t xml:space="preserve"> </w:t>
      </w:r>
      <w:r>
        <w:rPr>
          <w:rStyle w:val="VerbatimChar"/>
        </w:rPr>
        <w:t xml:space="preserve">FAKE_999</w:t>
      </w:r>
      <w:r>
        <w:t xml:space="preserve"> </w:t>
      </w:r>
      <w:r>
        <w:t xml:space="preserve">выводится «ЗАПИСЬ НЕ НАЙДЕНА». Штрих-код дублируется в красном блоке ошибок над таблицей.</w:t>
      </w:r>
    </w:p>
    <w:bookmarkEnd w:id="118"/>
    <w:bookmarkStart w:id="119" w:name="X01a776cc77f59d1c3f6b0e70e1c14b7bc89c590"/>
    <w:p>
      <w:pPr>
        <w:pStyle w:val="Heading4"/>
      </w:pPr>
      <w:r>
        <w:t xml:space="preserve">2.5. TC-2.5: Загрузка штрих-кодов из .txt файла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Выберите заранее подготовленный .txt файл со штрих-кодами в поле «Или загрузите текстовый файл» и нажмите «Отправить».</w:t>
      </w:r>
    </w:p>
    <w:p>
      <w:pPr>
        <w:pStyle w:val="Compact"/>
        <w:numPr>
          <w:ilvl w:val="0"/>
          <w:numId w:val="108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Файл успешно прочитан, результаты обработки полностью идентичны ручному вводу.</w:t>
      </w:r>
    </w:p>
    <w:bookmarkEnd w:id="119"/>
    <w:bookmarkEnd w:id="120"/>
    <w:bookmarkStart w:id="123" w:name="модуль-3-звуковые-уведомления"/>
    <w:p>
      <w:pPr>
        <w:pStyle w:val="Heading3"/>
      </w:pPr>
      <w:r>
        <w:t xml:space="preserve">3. Модуль 3: Звуковые уведомления</w:t>
      </w:r>
    </w:p>
    <w:bookmarkStart w:id="121" w:name="tc-3.1-работа-кнопки-переключения-звука"/>
    <w:p>
      <w:pPr>
        <w:pStyle w:val="Heading4"/>
      </w:pPr>
      <w:r>
        <w:t xml:space="preserve">3.1. TC-3.1: Работа кнопки переключения звука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Нажмите на иконку колокольчика на странице проверки фонда.</w:t>
      </w:r>
    </w:p>
    <w:p>
      <w:pPr>
        <w:pStyle w:val="Compact"/>
        <w:numPr>
          <w:ilvl w:val="0"/>
          <w:numId w:val="1081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Иконка меняется (перечеркнутый / обычный колокольчик). При включении звучит короткий тестовый сигнал (440 Гц). Выбор сохраняется в памяти браузера (</w:t>
      </w:r>
      <w:r>
        <w:rPr>
          <w:rStyle w:val="VerbatimChar"/>
        </w:rPr>
        <w:t xml:space="preserve">localStorage</w:t>
      </w:r>
      <w:r>
        <w:t xml:space="preserve">).</w:t>
      </w:r>
    </w:p>
    <w:bookmarkEnd w:id="121"/>
    <w:bookmarkStart w:id="122" w:name="tc-3.2-звуковой-сигнал-при-ошибке"/>
    <w:p>
      <w:pPr>
        <w:pStyle w:val="Heading4"/>
      </w:pPr>
      <w:r>
        <w:t xml:space="preserve">3.2. TC-3.2: Звуковой сигнал при ошибке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Звук в браузере включен (иконка обычного колокольчика).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Отправьте форму с несуществующим штрих-кодом книги.</w:t>
      </w:r>
    </w:p>
    <w:p>
      <w:pPr>
        <w:pStyle w:val="Compact"/>
        <w:numPr>
          <w:ilvl w:val="0"/>
          <w:numId w:val="1082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После перезагрузки страницы автоматически воспроизводится предупреждающий звуковой сигнал (sawtooth, 150 Гц).</w:t>
      </w:r>
    </w:p>
    <w:bookmarkEnd w:id="122"/>
    <w:bookmarkEnd w:id="123"/>
    <w:bookmarkStart w:id="127" w:name="Xe155c3adaefb478cb426537bc6905e38fa8832d"/>
    <w:p>
      <w:pPr>
        <w:pStyle w:val="Heading3"/>
      </w:pPr>
      <w:r>
        <w:t xml:space="preserve">4. Модуль 4: Обновление библиографической записи и сохранение истории</w:t>
      </w:r>
    </w:p>
    <w:bookmarkStart w:id="124" w:name="tc-4.1-первичная-проверка-экземпляра"/>
    <w:p>
      <w:pPr>
        <w:pStyle w:val="Heading4"/>
      </w:pPr>
      <w:r>
        <w:t xml:space="preserve">4.1. TC-4.1: Первичная проверка экземпляра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никогда ранее не проверялась (дата и ФИО пустые).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 полку и штрих-код</w:t>
      </w:r>
      <w:r>
        <w:t xml:space="preserve"> </w:t>
      </w:r>
      <w:r>
        <w:rPr>
          <w:rStyle w:val="VerbatimChar"/>
        </w:rPr>
        <w:t xml:space="preserve">B003</w:t>
      </w:r>
      <w:r>
        <w:t xml:space="preserve">.</w:t>
      </w:r>
    </w:p>
    <w:p>
      <w:pPr>
        <w:pStyle w:val="Compact"/>
        <w:numPr>
          <w:ilvl w:val="0"/>
          <w:numId w:val="1083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поле 910 проставляется дата и ФИО.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не создается. Создается новое поле 9101, полностью копирующее поле 910.</w:t>
      </w:r>
    </w:p>
    <w:bookmarkEnd w:id="124"/>
    <w:bookmarkStart w:id="125" w:name="X7e802d31c34eb082674cb15bc6b7fb961524030"/>
    <w:p>
      <w:pPr>
        <w:pStyle w:val="Heading4"/>
      </w:pPr>
      <w:r>
        <w:t xml:space="preserve">4.2. TC-4.2: Вторичная проверка (Сохранение истории)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У книги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есть старая дата проверки и ФИО.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снова.</w:t>
      </w:r>
    </w:p>
    <w:p>
      <w:pPr>
        <w:pStyle w:val="Compact"/>
        <w:numPr>
          <w:ilvl w:val="0"/>
          <w:numId w:val="1084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Текущая дата и ФИО обновляются в 910 поле. В подполе истории</w:t>
      </w:r>
      <w:r>
        <w:t xml:space="preserve"> </w:t>
      </w:r>
      <w:r>
        <w:rPr>
          <w:rStyle w:val="VerbatimChar"/>
        </w:rPr>
        <w:t xml:space="preserve">)</w:t>
      </w:r>
      <w:r>
        <w:t xml:space="preserve"> </w:t>
      </w:r>
      <w:r>
        <w:t xml:space="preserve">переносятся старые данные (Инв.номер/Дата/ФИО). В поле 9101 добавляется новое повторение.</w:t>
      </w:r>
    </w:p>
    <w:bookmarkEnd w:id="125"/>
    <w:bookmarkStart w:id="126" w:name="X923be10f08849d46deb88c801f600c622fb772c"/>
    <w:p>
      <w:pPr>
        <w:pStyle w:val="Heading4"/>
      </w:pPr>
      <w:r>
        <w:t xml:space="preserve">4.3. TC-4.3: Защита от дублирования истории (Anti-spam)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уже была отсканирована сегодня.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B003</w:t>
      </w:r>
      <w:r>
        <w:t xml:space="preserve"> </w:t>
      </w:r>
      <w:r>
        <w:t xml:space="preserve">еще раз.</w:t>
      </w:r>
    </w:p>
    <w:p>
      <w:pPr>
        <w:pStyle w:val="Compact"/>
        <w:numPr>
          <w:ilvl w:val="0"/>
          <w:numId w:val="1085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Данные в 910 поле перезаписываются текущими. Новое повторение в 9101</w:t>
      </w:r>
      <w:r>
        <w:t xml:space="preserve"> </w:t>
      </w:r>
      <w:r>
        <w:rPr>
          <w:b/>
          <w:bCs/>
        </w:rPr>
        <w:t xml:space="preserve">не</w:t>
      </w:r>
      <w:r>
        <w:t xml:space="preserve"> </w:t>
      </w:r>
      <w:r>
        <w:t xml:space="preserve">создается, так как оно полностью идентично последнему существующему.</w:t>
      </w:r>
    </w:p>
    <w:bookmarkEnd w:id="126"/>
    <w:bookmarkEnd w:id="127"/>
    <w:bookmarkStart w:id="130" w:name="модуль-5-архив-проверок-sqlite"/>
    <w:p>
      <w:pPr>
        <w:pStyle w:val="Heading3"/>
      </w:pPr>
      <w:r>
        <w:t xml:space="preserve">5. Модуль 5: Архив проверок (SQLite)</w:t>
      </w:r>
    </w:p>
    <w:bookmarkStart w:id="128" w:name="tc-5.1-сохранение-сеанса-в-архив"/>
    <w:p>
      <w:pPr>
        <w:pStyle w:val="Heading4"/>
      </w:pPr>
      <w:r>
        <w:t xml:space="preserve">5.1. TC-5.1: Сохранение сеанса в архив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Выполните любую успешную проверку. Перейдите по ссылке «Архив проверок».</w:t>
      </w:r>
    </w:p>
    <w:p>
      <w:pPr>
        <w:pStyle w:val="Compact"/>
        <w:numPr>
          <w:ilvl w:val="0"/>
          <w:numId w:val="1086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В таблице появилась новая запись с вашей текущей датой, ФИО, корректным количеством штрих-кодов и ошибок.</w:t>
      </w:r>
    </w:p>
    <w:bookmarkEnd w:id="128"/>
    <w:bookmarkStart w:id="129" w:name="tc-5.2-экспорт-и-удаление-из-архива"/>
    <w:p>
      <w:pPr>
        <w:pStyle w:val="Heading4"/>
      </w:pPr>
      <w:r>
        <w:t xml:space="preserve">5.2. TC-5.2: Экспорт и удаление из архива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В архиве отметьте чекбоксами несколько записей. Нажмите «Экспорт выбранных в CSV», затем «Удалить выбранные».</w:t>
      </w:r>
    </w:p>
    <w:p>
      <w:pPr>
        <w:pStyle w:val="Compact"/>
        <w:numPr>
          <w:ilvl w:val="0"/>
          <w:numId w:val="1087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Скачивается корректный CSV файл. После подтверждения удаления, записи исчезают из таблицы и удаляются из файла базы данных</w:t>
      </w:r>
      <w:r>
        <w:t xml:space="preserve"> </w:t>
      </w:r>
      <w:r>
        <w:rPr>
          <w:rStyle w:val="VerbatimChar"/>
        </w:rPr>
        <w:t xml:space="preserve">ProvFondArchive.db</w:t>
      </w:r>
      <w:r>
        <w:t xml:space="preserve">.</w:t>
      </w:r>
    </w:p>
    <w:bookmarkEnd w:id="129"/>
    <w:bookmarkEnd w:id="130"/>
    <w:bookmarkStart w:id="134" w:name="модуль-6-отчет-о-проверке-фонда"/>
    <w:p>
      <w:pPr>
        <w:pStyle w:val="Heading3"/>
      </w:pPr>
      <w:r>
        <w:t xml:space="preserve">6. Модуль 6: Отчет о проверке фонда</w:t>
      </w:r>
    </w:p>
    <w:bookmarkStart w:id="131" w:name="tc-6.1-генерация-базового-отчета"/>
    <w:p>
      <w:pPr>
        <w:pStyle w:val="Heading4"/>
      </w:pPr>
      <w:r>
        <w:t xml:space="preserve">6.1. TC-6.1: Генерация базового отчета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Перейдите в «Отчет о проверке фонда». Выберите место хранения и установите сегодняшнюю дату. Нажмите «Сформировать отчет».</w:t>
      </w:r>
    </w:p>
    <w:p>
      <w:pPr>
        <w:pStyle w:val="Compact"/>
        <w:numPr>
          <w:ilvl w:val="0"/>
          <w:numId w:val="1088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Проверенные сегодня книги попадают в список «Найденные / Проверенные». Давно не проверявшиеся экземпляры — в «Обнаруженные проблемы» с текстом</w:t>
      </w:r>
      <w:r>
        <w:t xml:space="preserve"> </w:t>
      </w:r>
      <w:r>
        <w:rPr>
          <w:rStyle w:val="VerbatimChar"/>
        </w:rPr>
        <w:t xml:space="preserve">Не найдено / Не проверено</w:t>
      </w:r>
      <w:r>
        <w:t xml:space="preserve">.</w:t>
      </w:r>
    </w:p>
    <w:bookmarkEnd w:id="131"/>
    <w:bookmarkStart w:id="132" w:name="X79856a65b775cd440b920ac1b4aa3eb9c1d1f87"/>
    <w:p>
      <w:pPr>
        <w:pStyle w:val="Heading4"/>
      </w:pPr>
      <w:r>
        <w:t xml:space="preserve">6.2. TC-6.2: Кросс-проверка с читателями (Выдана легитимно)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B004</w:t>
      </w:r>
      <w:r>
        <w:t xml:space="preserve"> </w:t>
      </w:r>
      <w:r>
        <w:t xml:space="preserve">числится выданной читателю (Статус 1). При физической проверке она не сканировалась (отсутствует на полке).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Сформируйте отчет.</w:t>
      </w:r>
    </w:p>
    <w:p>
      <w:pPr>
        <w:pStyle w:val="Compact"/>
        <w:numPr>
          <w:ilvl w:val="0"/>
          <w:numId w:val="1089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«Найденные / Проверенные» (отсутствие на полке является легитимным).</w:t>
      </w:r>
    </w:p>
    <w:bookmarkEnd w:id="132"/>
    <w:bookmarkStart w:id="133" w:name="Xc34e6770907ea1f56230248ce6250771298f3b1"/>
    <w:p>
      <w:pPr>
        <w:pStyle w:val="Heading4"/>
      </w:pPr>
      <w:r>
        <w:t xml:space="preserve">6.3. TC-6.3: Ошибка: Выдана читателю, но найдена на полке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Предусловие:</w:t>
      </w:r>
      <w:r>
        <w:t xml:space="preserve"> </w:t>
      </w:r>
      <w:r>
        <w:t xml:space="preserve">Книга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числится выданной читателю (Статус 1).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Шаги:</w:t>
      </w:r>
      <w:r>
        <w:t xml:space="preserve"> </w:t>
      </w:r>
      <w:r>
        <w:t xml:space="preserve">Отсканируйте</w:t>
      </w:r>
      <w:r>
        <w:t xml:space="preserve"> </w:t>
      </w:r>
      <w:r>
        <w:rPr>
          <w:rStyle w:val="VerbatimChar"/>
        </w:rPr>
        <w:t xml:space="preserve">B005</w:t>
      </w:r>
      <w:r>
        <w:t xml:space="preserve"> </w:t>
      </w:r>
      <w:r>
        <w:t xml:space="preserve">в форме «Проверка фонда». Сформируйте отчет.</w:t>
      </w:r>
    </w:p>
    <w:p>
      <w:pPr>
        <w:pStyle w:val="Compact"/>
        <w:numPr>
          <w:ilvl w:val="0"/>
          <w:numId w:val="1090"/>
        </w:numPr>
      </w:pPr>
      <w:r>
        <w:rPr>
          <w:b/>
          <w:bCs/>
        </w:rPr>
        <w:t xml:space="preserve">Ожидаемый результат:</w:t>
      </w:r>
      <w:r>
        <w:t xml:space="preserve"> </w:t>
      </w:r>
      <w:r>
        <w:t xml:space="preserve">Книга попадает в «Обнаруженные проблемы» с текстом ошибки:</w:t>
      </w:r>
      <w:r>
        <w:t xml:space="preserve"> </w:t>
      </w:r>
      <w:r>
        <w:rPr>
          <w:rStyle w:val="VerbatimChar"/>
        </w:rPr>
        <w:t xml:space="preserve">Книга выдана читателю (Статус 1), но стоит на полке (найдена при проверке)</w:t>
      </w:r>
      <w:r>
        <w:t xml:space="preserve">.</w:t>
      </w:r>
    </w:p>
    <w:bookmarkEnd w:id="133"/>
    <w:bookmarkEnd w:id="134"/>
    <w:bookmarkEnd w:id="135"/>
    <w:bookmarkEnd w:id="13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  <w:num w:numId="1078">
    <w:abstractNumId w:val="991"/>
  </w:num>
  <w:num w:numId="1079">
    <w:abstractNumId w:val="991"/>
  </w:num>
  <w:num w:numId="1080">
    <w:abstractNumId w:val="991"/>
  </w:num>
  <w:num w:numId="1081">
    <w:abstractNumId w:val="991"/>
  </w:num>
  <w:num w:numId="1082">
    <w:abstractNumId w:val="991"/>
  </w:num>
  <w:num w:numId="1083">
    <w:abstractNumId w:val="991"/>
  </w:num>
  <w:num w:numId="1084">
    <w:abstractNumId w:val="991"/>
  </w:num>
  <w:num w:numId="1085">
    <w:abstractNumId w:val="991"/>
  </w:num>
  <w:num w:numId="1086">
    <w:abstractNumId w:val="991"/>
  </w:num>
  <w:num w:numId="1087">
    <w:abstractNumId w:val="991"/>
  </w:num>
  <w:num w:numId="1088">
    <w:abstractNumId w:val="991"/>
  </w:num>
  <w:num w:numId="1089">
    <w:abstractNumId w:val="991"/>
  </w:num>
  <w:num w:numId="109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3" Target="media/rId43.png" /><Relationship Type="http://schemas.openxmlformats.org/officeDocument/2006/relationships/image" Id="rId47" Target="media/rId47.png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image" Id="rId55" Target="media/rId55.png" /><Relationship Type="http://schemas.openxmlformats.org/officeDocument/2006/relationships/image" Id="rId29" Target="media/rId29.png" /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37" Target="?id=Help/Show&amp;m=Complectator/Help/AdminGuide/DbConfig" TargetMode="External" /><Relationship Type="http://schemas.openxmlformats.org/officeDocument/2006/relationships/hyperlink" Id="rId40" Target="?id=Help/Show&amp;m=Complectator/Help/AdminGuide/OrderMode" TargetMode="External" /><Relationship Type="http://schemas.openxmlformats.org/officeDocument/2006/relationships/hyperlink" Id="rId38" Target="?id=Help/Show&amp;m=Complectator/Help/AdminGuide/ReceiptMode" TargetMode="External" /><Relationship Type="http://schemas.openxmlformats.org/officeDocument/2006/relationships/hyperlink" Id="rId39" Target="?id=Help/Show&amp;m=Complectator/Help/AdminGuide/WriteOffMode" TargetMode="External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2026-10-24T04:03:20Z</dcterms:created>
  <dcterms:modified xsi:type="dcterms:W3CDTF">2026-10-24T04:03:20Z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