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[I128-1907] Исключена настраиваемая функциональность конвертирования поисковых запросов в полнотекстовые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221cd015b0f1a10bfe029689d1e0665d3395d"/>
    <w:p>
      <w:pPr>
        <w:pStyle w:val="Heading1"/>
      </w:pPr>
      <w:r>
        <w:t xml:space="preserve">[I128-1907] Исключена настраиваемая функциональность конвертирования поисковых запросов в полнотекстовые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8"/>
    <w:p>
      <w:pPr>
        <w:pStyle w:val="Heading3"/>
      </w:pPr>
      <w:r>
        <w:t xml:space="preserve">1.1. 🔗 Соответствует задача: I128-1908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[I128-1908]</w:t>
        </w:r>
      </w:hyperlink>
      <w:r>
        <w:t xml:space="preserve"> </w:t>
      </w:r>
      <w:r>
        <w:t xml:space="preserve">Исключена настраиваемая функциональность конвертирования поисковых запросов в полнотекстовые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[I128-1907] Исключена настраиваемая функциональность конвертирования поисковых запросов в полнотекстовые</dc:title>
  <dc:creator/>
  <cp:keywords/>
  <dcterms:created xsi:type="dcterms:W3CDTF">2026-10-15T13:11:34Z</dcterms:created>
  <dcterms:modified xsi:type="dcterms:W3CDTF">2026-10-15T13:11:34Z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