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[I128-2493] Папки: связь импортированной папки с родителем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3e2a385fdda02adfedfb2e809d45aabe6de26"/>
    <w:p>
      <w:pPr>
        <w:pStyle w:val="Heading1"/>
      </w:pPr>
      <w:r>
        <w:t xml:space="preserve">[I128-2493] Папки: связь импортированной папки с родителем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дерева папок связь новой папки с родительской записью добавляется прямой записью LINK в служебное поле 113. После выделения границы ответственности Security это оставляет часть сценария импорта папок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дерева папок использует общий механизм Security для создания связи с родительской записью. Для пользователя сценарий остается прежним: папки создаются по импортируемому дереву и связываются с родительскими объектами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modules/Folder/Actions/ImportPathedTree2.inc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r, $linktype,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[I128-2493] Папки: связь импортированной папки с родителем создается вне Security</dc:title>
  <dc:creator/>
  <cp:keywords/>
  <dcterms:created xsi:type="dcterms:W3CDTF">2026-10-15T11:37:48Z</dcterms:created>
  <dcterms:modified xsi:type="dcterms:W3CDTF">2026-10-15T11:37:48Z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