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859191e1795199d1594a3cad120fc4266973"/>
    <w:p>
      <w:pPr>
        <w:pStyle w:val="Heading1"/>
      </w:pPr>
      <w:r>
        <w:t xml:space="preserve">Руководство программиста FieldConfiguration</w:t>
      </w:r>
    </w:p>
    <w:bookmarkStart w:id="9" w:name="основной-контракт"/>
    <w:p>
      <w:pPr>
        <w:pStyle w:val="Heading2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10"/>
    <w:bookmarkStart w:id="11" w:name="не-входит-в-модуль"/>
    <w:p>
      <w:pPr>
        <w:pStyle w:val="Heading2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2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2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2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2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2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2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FieldConfiguration</dc:title>
  <dc:creator/>
  <cp:keywords/>
  <dcterms:created xsi:type="dcterms:W3CDTF">2026-10-25T04:26:00Z</dcterms:created>
  <dcterms:modified xsi:type="dcterms:W3CDTF">2026-10-25T04:26:00Z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