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SyncPolicy и ConflictPolicy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syncpolicy-и-conflictpolicy"/>
    <w:p>
      <w:pPr>
        <w:pStyle w:val="Heading1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9" w:name="syncpolicy"/>
    <w:p>
      <w:pPr>
        <w:pStyle w:val="Heading2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1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1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source-of-truth policy;</w:t>
      </w:r>
    </w:p>
    <w:p>
      <w:pPr>
        <w:pStyle w:val="Compact"/>
        <w:numPr>
          <w:ilvl w:val="0"/>
          <w:numId w:val="1001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1"/>
        </w:numPr>
      </w:pPr>
      <w:r>
        <w:t xml:space="preserve">idempotency scope;</w:t>
      </w:r>
    </w:p>
    <w:p>
      <w:pPr>
        <w:pStyle w:val="Compact"/>
        <w:numPr>
          <w:ilvl w:val="0"/>
          <w:numId w:val="1001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1"/>
        </w:numPr>
      </w:pPr>
      <w:r>
        <w:t xml:space="preserve">stale data policy;</w:t>
      </w:r>
    </w:p>
    <w:p>
      <w:pPr>
        <w:pStyle w:val="Compact"/>
        <w:numPr>
          <w:ilvl w:val="0"/>
          <w:numId w:val="1001"/>
        </w:numPr>
      </w:pPr>
      <w:r>
        <w:t xml:space="preserve">retry eligibility;</w:t>
      </w:r>
    </w:p>
    <w:p>
      <w:pPr>
        <w:pStyle w:val="Compact"/>
        <w:numPr>
          <w:ilvl w:val="0"/>
          <w:numId w:val="1001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9"/>
    <w:bookmarkStart w:id="10" w:name="conflictpolicy"/>
    <w:p>
      <w:pPr>
        <w:pStyle w:val="Heading2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10"/>
    <w:bookmarkStart w:id="11" w:name="dry-run-sync"/>
    <w:p>
      <w:pPr>
        <w:pStyle w:val="Heading2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3"/>
        </w:numPr>
      </w:pPr>
      <w:r>
        <w:t xml:space="preserve">normalized payload;</w:t>
      </w:r>
    </w:p>
    <w:p>
      <w:pPr>
        <w:pStyle w:val="Compact"/>
        <w:numPr>
          <w:ilvl w:val="0"/>
          <w:numId w:val="1003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3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3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3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3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3"/>
        </w:numPr>
      </w:pPr>
      <w:r>
        <w:t xml:space="preserve">conflict classes;</w:t>
      </w:r>
    </w:p>
    <w:p>
      <w:pPr>
        <w:pStyle w:val="Compact"/>
        <w:numPr>
          <w:ilvl w:val="0"/>
          <w:numId w:val="1003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3"/>
        </w:numPr>
      </w:pPr>
      <w:r>
        <w:t xml:space="preserve">idempotency fingerprint;</w:t>
      </w:r>
    </w:p>
    <w:p>
      <w:pPr>
        <w:pStyle w:val="Compact"/>
        <w:numPr>
          <w:ilvl w:val="0"/>
          <w:numId w:val="1003"/>
        </w:numPr>
      </w:pPr>
      <w:r>
        <w:t xml:space="preserve">trace metadata;</w:t>
      </w:r>
    </w:p>
    <w:p>
      <w:pPr>
        <w:pStyle w:val="Compact"/>
        <w:numPr>
          <w:ilvl w:val="0"/>
          <w:numId w:val="1003"/>
        </w:numPr>
      </w:pPr>
      <w:r>
        <w:t xml:space="preserve">Security summary;</w:t>
      </w:r>
    </w:p>
    <w:p>
      <w:pPr>
        <w:pStyle w:val="Compact"/>
        <w:numPr>
          <w:ilvl w:val="0"/>
          <w:numId w:val="1003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11"/>
    <w:bookmarkStart w:id="12" w:name="границы-ответственности"/>
    <w:p>
      <w:pPr>
        <w:pStyle w:val="Heading2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SyncPolicy и ConflictPolicy</dc:title>
  <dc:creator/>
  <cp:keywords/>
  <dcterms:created xsi:type="dcterms:W3CDTF">2026-10-17T15:22:38Z</dcterms:created>
  <dcterms:modified xsi:type="dcterms:W3CDTF">2026-10-17T15:22:38Z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