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Руководство пользователя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4" w:name="руководство-пользователя"/>
    <w:p>
      <w:pPr>
        <w:pStyle w:val="Heading1"/>
      </w:pPr>
      <w:r>
        <w:t xml:space="preserve">Руководство пользователя</w:t>
      </w:r>
    </w:p>
    <w:bookmarkStart w:id="16" w:name="назначение-модуля-record"/>
    <w:p>
      <w:pPr>
        <w:pStyle w:val="Heading2"/>
      </w:pPr>
      <w:r>
        <w:t xml:space="preserve">Назначение модуля Record</w:t>
      </w:r>
    </w:p>
    <w:p>
      <w:pPr>
        <w:pStyle w:val="FirstParagraph"/>
      </w:pPr>
      <w:r>
        <w:rPr>
          <w:rStyle w:val="VerbatimChar"/>
        </w:rPr>
        <w:t xml:space="preserve">Record</w:t>
      </w:r>
      <w:r>
        <w:t xml:space="preserve"> </w:t>
      </w:r>
      <w:r>
        <w:t xml:space="preserve">- служебный модуль модели записи ИРБИС 128. Он предоставляет объект</w:t>
      </w:r>
      <w:r>
        <w:t xml:space="preserve"> </w:t>
      </w:r>
      <w:r>
        <w:rPr>
          <w:rStyle w:val="VerbatimChar"/>
        </w:rPr>
        <w:t xml:space="preserve">ObjectDataRecord</w:t>
      </w:r>
      <w:r>
        <w:t xml:space="preserve"> </w:t>
      </w:r>
      <w:r>
        <w:t xml:space="preserve">и набор функций для чтения, изменения, преобразования и хранения записей, с которыми работают пользовательские и административные модули системы.</w:t>
      </w:r>
    </w:p>
    <w:p>
      <w:pPr>
        <w:pStyle w:val="BodyText"/>
      </w:pPr>
      <w:r>
        <w:t xml:space="preserve">Модуль не является отдельным пользовательским АРМ. Его справка нужна разработчикам и администраторам сопровождения, которые разбирают автодокументацию функций или диагностируют обработку записей в других модулях.</w:t>
      </w:r>
    </w:p>
    <w:bookmarkStart w:id="9" w:name="основные-задачи"/>
    <w:p>
      <w:pPr>
        <w:pStyle w:val="Heading3"/>
      </w:pPr>
      <w:r>
        <w:t xml:space="preserve">1. Основные задачи</w:t>
      </w:r>
    </w:p>
    <w:p>
      <w:pPr>
        <w:pStyle w:val="Compact"/>
        <w:numPr>
          <w:ilvl w:val="0"/>
          <w:numId w:val="1001"/>
        </w:numPr>
      </w:pPr>
      <w:r>
        <w:t xml:space="preserve">создание нового объекта записи через</w:t>
      </w:r>
      <w:r>
        <w:t xml:space="preserve"> </w:t>
      </w:r>
      <w:r>
        <w:rPr>
          <w:rStyle w:val="VerbatimChar"/>
        </w:rPr>
        <w:t xml:space="preserve">Record-&gt;GetNew()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работа с полями, повторениями и подполями записи;</w:t>
      </w:r>
    </w:p>
    <w:p>
      <w:pPr>
        <w:pStyle w:val="Compact"/>
        <w:numPr>
          <w:ilvl w:val="0"/>
          <w:numId w:val="1001"/>
        </w:numPr>
      </w:pPr>
      <w:r>
        <w:t xml:space="preserve">разбор записей из текстового формата ИРБИС, JSON, MARC и MarcWeb;</w:t>
      </w:r>
    </w:p>
    <w:p>
      <w:pPr>
        <w:pStyle w:val="Compact"/>
        <w:numPr>
          <w:ilvl w:val="0"/>
          <w:numId w:val="1001"/>
        </w:numPr>
      </w:pPr>
      <w:r>
        <w:t xml:space="preserve">выгрузка записи в массив, JSON, XML, MARC и текстовые форматы;</w:t>
      </w:r>
    </w:p>
    <w:p>
      <w:pPr>
        <w:pStyle w:val="Compact"/>
        <w:numPr>
          <w:ilvl w:val="0"/>
          <w:numId w:val="1001"/>
        </w:numPr>
      </w:pPr>
      <w:r>
        <w:t xml:space="preserve">хранение служебных данных записи по SID;</w:t>
      </w:r>
    </w:p>
    <w:p>
      <w:pPr>
        <w:pStyle w:val="Compact"/>
        <w:numPr>
          <w:ilvl w:val="0"/>
          <w:numId w:val="1001"/>
        </w:numPr>
      </w:pPr>
      <w:r>
        <w:t xml:space="preserve">ускоренное повторное чтение записей через кеш</w:t>
      </w:r>
      <w:r>
        <w:t xml:space="preserve"> </w:t>
      </w:r>
      <w:r>
        <w:rPr>
          <w:rStyle w:val="VerbatimChar"/>
        </w:rPr>
        <w:t xml:space="preserve">Record_Content</w:t>
      </w:r>
      <w:r>
        <w:t xml:space="preserve"> </w:t>
      </w:r>
      <w:r>
        <w:t xml:space="preserve">и карту</w:t>
      </w:r>
      <w:r>
        <w:t xml:space="preserve"> </w:t>
      </w:r>
      <w:r>
        <w:rPr>
          <w:rStyle w:val="VerbatimChar"/>
        </w:rPr>
        <w:t xml:space="preserve">Record_SidMap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работа с SID-файлами и встроенными SQLite-базами записи;</w:t>
      </w:r>
    </w:p>
    <w:p>
      <w:pPr>
        <w:pStyle w:val="Compact"/>
        <w:numPr>
          <w:ilvl w:val="0"/>
          <w:numId w:val="1001"/>
        </w:numPr>
      </w:pPr>
      <w:r>
        <w:t xml:space="preserve">управление связями между записями;</w:t>
      </w:r>
    </w:p>
    <w:p>
      <w:pPr>
        <w:pStyle w:val="Compact"/>
        <w:numPr>
          <w:ilvl w:val="0"/>
          <w:numId w:val="1001"/>
        </w:numPr>
      </w:pPr>
      <w:r>
        <w:t xml:space="preserve">применение FST и GBL к записи;</w:t>
      </w:r>
    </w:p>
    <w:p>
      <w:pPr>
        <w:pStyle w:val="Compact"/>
        <w:numPr>
          <w:ilvl w:val="0"/>
          <w:numId w:val="1001"/>
        </w:numPr>
      </w:pPr>
      <w:r>
        <w:t xml:space="preserve">поддержка служебных счетчиков, блокировок и кэша.</w:t>
      </w:r>
    </w:p>
    <w:bookmarkEnd w:id="9"/>
    <w:bookmarkStart w:id="10" w:name="модель-записи"/>
    <w:p>
      <w:pPr>
        <w:pStyle w:val="Heading3"/>
      </w:pPr>
      <w:r>
        <w:t xml:space="preserve">2. Модель записи</w:t>
      </w:r>
    </w:p>
    <w:p>
      <w:pPr>
        <w:pStyle w:val="FirstParagraph"/>
      </w:pPr>
      <w:r>
        <w:t xml:space="preserve">Запись представлена классом</w:t>
      </w:r>
      <w:r>
        <w:t xml:space="preserve"> </w:t>
      </w:r>
      <w:r>
        <w:rPr>
          <w:rStyle w:val="VerbatimChar"/>
        </w:rPr>
        <w:t xml:space="preserve">ObjectDataRecord</w:t>
      </w:r>
      <w:r>
        <w:t xml:space="preserve">. Основное содержимое хранится в массиве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: метка поля указывает на список повторений, а каждое повторение содержит набор подполей. Порядок меток полей для ИРБИС не является значимым, но порядок повторений одного поля сохраняется.</w:t>
      </w:r>
    </w:p>
    <w:p>
      <w:pPr>
        <w:pStyle w:val="BodyText"/>
      </w:pPr>
      <w:r>
        <w:t xml:space="preserve">Основные служебные свойства: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mfn</w:t>
      </w:r>
      <w:r>
        <w:t xml:space="preserve"> </w:t>
      </w:r>
      <w:r>
        <w:t xml:space="preserve">- MFN записи в базе данных;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Status</w:t>
      </w:r>
      <w:r>
        <w:t xml:space="preserve"> </w:t>
      </w:r>
      <w:r>
        <w:t xml:space="preserve">- статус записи;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RecVersion</w:t>
      </w:r>
      <w:r>
        <w:t xml:space="preserve"> </w:t>
      </w:r>
      <w:r>
        <w:t xml:space="preserve">- версия записи;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_sid</w:t>
      </w:r>
      <w:r>
        <w:t xml:space="preserve"> </w:t>
      </w:r>
      <w:r>
        <w:t xml:space="preserve">- системный идентификатор записи для хранения связанных файлов и служебных данных;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curocc</w:t>
      </w:r>
      <w:r>
        <w:t xml:space="preserve"> </w:t>
      </w:r>
      <w:r>
        <w:t xml:space="preserve">- текущее повторение поля для коротких функций доступа.</w:t>
      </w:r>
    </w:p>
    <w:bookmarkEnd w:id="10"/>
    <w:bookmarkStart w:id="11" w:name="работа-с-полями"/>
    <w:p>
      <w:pPr>
        <w:pStyle w:val="Heading3"/>
      </w:pPr>
      <w:r>
        <w:t xml:space="preserve">3. Работа с полями</w:t>
      </w:r>
    </w:p>
    <w:p>
      <w:pPr>
        <w:pStyle w:val="FirstParagraph"/>
      </w:pPr>
      <w:r>
        <w:t xml:space="preserve">Для чтения и изменения структуры записи используются функции</w:t>
      </w:r>
      <w:r>
        <w:t xml:space="preserve"> </w:t>
      </w:r>
      <w:r>
        <w:rPr>
          <w:rStyle w:val="VerbatimChar"/>
        </w:rPr>
        <w:t xml:space="preserve">GetField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GetFieldA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GetFieldAA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GetSubField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SetFieldA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SetFieldAA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SetSubField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FieldAdd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FieldDelete</w:t>
      </w:r>
      <w:r>
        <w:t xml:space="preserve">,</w:t>
      </w:r>
      <w:r>
        <w:t xml:space="preserve"> </w:t>
      </w:r>
      <w:r>
        <w:rPr>
          <w:rStyle w:val="VerbatimChar"/>
        </w:rPr>
        <w:t xml:space="preserve">SubFieldDelete</w:t>
      </w:r>
      <w:r>
        <w:t xml:space="preserve">,</w:t>
      </w:r>
      <w:r>
        <w:t xml:space="preserve"> </w:t>
      </w:r>
      <w:r>
        <w:rPr>
          <w:rStyle w:val="VerbatimChar"/>
        </w:rPr>
        <w:t xml:space="preserve">SortField</w:t>
      </w:r>
      <w:r>
        <w:t xml:space="preserve"> </w:t>
      </w:r>
      <w:r>
        <w:t xml:space="preserve">и связанные с ними короткие функции</w:t>
      </w:r>
      <w:r>
        <w:t xml:space="preserve"> </w:t>
      </w:r>
      <w:r>
        <w:rPr>
          <w:rStyle w:val="VerbatimChar"/>
        </w:rPr>
        <w:t xml:space="preserve">v</w:t>
      </w:r>
      <w:r>
        <w:t xml:space="preserve">,</w:t>
      </w:r>
      <w:r>
        <w:t xml:space="preserve"> </w:t>
      </w:r>
      <w:r>
        <w:rPr>
          <w:rStyle w:val="VerbatimChar"/>
        </w:rPr>
        <w:t xml:space="preserve">d</w:t>
      </w:r>
      <w:r>
        <w:t xml:space="preserve">,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f</w:t>
      </w:r>
      <w:r>
        <w:t xml:space="preserve">,</w:t>
      </w:r>
      <w:r>
        <w:t xml:space="preserve"> </w:t>
      </w:r>
      <w:r>
        <w:rPr>
          <w:rStyle w:val="VerbatimChar"/>
        </w:rPr>
        <w:t xml:space="preserve">sf</w:t>
      </w:r>
      <w:r>
        <w:t xml:space="preserve">.</w:t>
      </w:r>
    </w:p>
    <w:p>
      <w:pPr>
        <w:pStyle w:val="BodyText"/>
      </w:pPr>
      <w:r>
        <w:t xml:space="preserve">При изменении записи нужно учитывать, что функции работают с внутренним массивом записи. Неверная метка поля, номер повторения или код подполя могут привести к созданию некорректной структуры, поэтому вызовы обычно выполняются из модулей, которые уже знают рабочий лист и формат записи.</w:t>
      </w:r>
    </w:p>
    <w:bookmarkEnd w:id="11"/>
    <w:bookmarkStart w:id="13" w:name="sid-и-служебные-данные"/>
    <w:p>
      <w:pPr>
        <w:pStyle w:val="Heading3"/>
      </w:pPr>
      <w:r>
        <w:t xml:space="preserve">4. SID и служебные данные</w:t>
      </w:r>
    </w:p>
    <w:p>
      <w:pPr>
        <w:pStyle w:val="FirstParagraph"/>
      </w:pPr>
      <w:r>
        <w:t xml:space="preserve">SID используется для хранения данных, связанных с записью вне основного массива полей: файлов, SQLite-таблиц, метаданных, временных данных и блокировок. Для этого используются функции</w:t>
      </w:r>
      <w:r>
        <w:t xml:space="preserve"> </w:t>
      </w:r>
      <w:r>
        <w:rPr>
          <w:rStyle w:val="VerbatimChar"/>
        </w:rPr>
        <w:t xml:space="preserve">EnsureSid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GetSid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SetSid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GetSidFile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SetSidFile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GetSidDb</w:t>
      </w:r>
      <w:r>
        <w:t xml:space="preserve">,</w:t>
      </w:r>
      <w:r>
        <w:t xml:space="preserve"> </w:t>
      </w:r>
      <w:r>
        <w:rPr>
          <w:rStyle w:val="VerbatimChar"/>
        </w:rPr>
        <w:t xml:space="preserve">InitSidDb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SetSidDbData</w:t>
      </w:r>
      <w:r>
        <w:t xml:space="preserve">,</w:t>
      </w:r>
      <w:r>
        <w:t xml:space="preserve"> </w:t>
      </w:r>
      <w:r>
        <w:rPr>
          <w:rStyle w:val="VerbatimChar"/>
        </w:rPr>
        <w:t xml:space="preserve">LockSidElm</w:t>
      </w:r>
      <w:r>
        <w:t xml:space="preserve">,</w:t>
      </w:r>
      <w:r>
        <w:t xml:space="preserve"> </w:t>
      </w:r>
      <w:r>
        <w:rPr>
          <w:rStyle w:val="VerbatimChar"/>
        </w:rPr>
        <w:t xml:space="preserve">UnlockSidElm</w:t>
      </w:r>
      <w:r>
        <w:t xml:space="preserve"> </w:t>
      </w:r>
      <w:r>
        <w:t xml:space="preserve">и связанные функции.</w:t>
      </w:r>
    </w:p>
    <w:p>
      <w:pPr>
        <w:pStyle w:val="BodyText"/>
      </w:pPr>
      <w:r>
        <w:t xml:space="preserve">SID-хранилище применяется там, где данные записи должны сопровождаться внешними файлами или служебными таблицами, например при работе с полными текстами, логами и временными результатами обработки.</w:t>
      </w:r>
    </w:p>
    <w:p>
      <w:pPr>
        <w:pStyle w:val="BodyText"/>
      </w:pPr>
      <w:r>
        <w:t xml:space="preserve">Повторное чтение содержимого записи и поиск записи по SID дополнительно используют системный кеш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 Подробности см. в разделе</w:t>
      </w:r>
      <w:r>
        <w:t xml:space="preserve"> </w:t>
      </w:r>
      <w:hyperlink r:id="rId12">
        <w:r>
          <w:rPr>
            <w:rStyle w:val="Hyperlink"/>
          </w:rPr>
          <w:t xml:space="preserve">Кеширование содержимого записи и SID</w:t>
        </w:r>
      </w:hyperlink>
      <w:r>
        <w:t xml:space="preserve">.</w:t>
      </w:r>
    </w:p>
    <w:bookmarkEnd w:id="13"/>
    <w:bookmarkStart w:id="14" w:name="связи-записей"/>
    <w:p>
      <w:pPr>
        <w:pStyle w:val="Heading3"/>
      </w:pPr>
      <w:r>
        <w:t xml:space="preserve">5. Связи записей</w:t>
      </w:r>
    </w:p>
    <w:p>
      <w:pPr>
        <w:pStyle w:val="FirstParagraph"/>
      </w:pPr>
      <w:r>
        <w:t xml:space="preserve">Функции</w:t>
      </w:r>
      <w:r>
        <w:t xml:space="preserve"> </w:t>
      </w:r>
      <w:r>
        <w:rPr>
          <w:rStyle w:val="VerbatimChar"/>
        </w:rPr>
        <w:t xml:space="preserve">CreateLink</w:t>
      </w:r>
      <w:r>
        <w:t xml:space="preserve">,</w:t>
      </w:r>
      <w:r>
        <w:t xml:space="preserve"> </w:t>
      </w:r>
      <w:r>
        <w:rPr>
          <w:rStyle w:val="VerbatimChar"/>
        </w:rPr>
        <w:t xml:space="preserve">AppendLink</w:t>
      </w:r>
      <w:r>
        <w:t xml:space="preserve">,</w:t>
      </w:r>
      <w:r>
        <w:t xml:space="preserve"> </w:t>
      </w:r>
      <w:r>
        <w:rPr>
          <w:rStyle w:val="VerbatimChar"/>
        </w:rPr>
        <w:t xml:space="preserve">GetLinks</w:t>
      </w:r>
      <w:r>
        <w:t xml:space="preserve">,</w:t>
      </w:r>
      <w:r>
        <w:t xml:space="preserve"> </w:t>
      </w:r>
      <w:r>
        <w:rPr>
          <w:rStyle w:val="VerbatimChar"/>
        </w:rPr>
        <w:t xml:space="preserve">GetLinkedRecords</w:t>
      </w:r>
      <w:r>
        <w:t xml:space="preserve">,</w:t>
      </w:r>
      <w:r>
        <w:t xml:space="preserve"> </w:t>
      </w:r>
      <w:r>
        <w:rPr>
          <w:rStyle w:val="VerbatimChar"/>
        </w:rPr>
        <w:t xml:space="preserve">GetBackLinked</w:t>
      </w:r>
      <w:r>
        <w:t xml:space="preserve">,</w:t>
      </w:r>
      <w:r>
        <w:t xml:space="preserve"> </w:t>
      </w:r>
      <w:r>
        <w:rPr>
          <w:rStyle w:val="VerbatimChar"/>
        </w:rPr>
        <w:t xml:space="preserve">KillLink</w:t>
      </w:r>
      <w:r>
        <w:t xml:space="preserve">,</w:t>
      </w:r>
      <w:r>
        <w:t xml:space="preserve"> </w:t>
      </w:r>
      <w:r>
        <w:rPr>
          <w:rStyle w:val="VerbatimChar"/>
        </w:rPr>
        <w:t xml:space="preserve">KillLinkSide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UnionLinks</w:t>
      </w:r>
      <w:r>
        <w:t xml:space="preserve"> </w:t>
      </w:r>
      <w:r>
        <w:t xml:space="preserve">используются для управления связями между записями. Тип связи задается вызывающим модулем и должен быть согласован с его бизнес-логикой.</w:t>
      </w:r>
    </w:p>
    <w:bookmarkEnd w:id="14"/>
    <w:bookmarkStart w:id="15" w:name="автодокументация"/>
    <w:p>
      <w:pPr>
        <w:pStyle w:val="Heading3"/>
      </w:pPr>
      <w:r>
        <w:t xml:space="preserve">6. Автодокументация</w:t>
      </w:r>
    </w:p>
    <w:p>
      <w:pPr>
        <w:pStyle w:val="FirstParagraph"/>
      </w:pPr>
      <w:r>
        <w:t xml:space="preserve">Полный список функций, их параметров и action</w:t>
      </w:r>
      <w:r>
        <w:t xml:space="preserve"> </w:t>
      </w:r>
      <w:r>
        <w:rPr>
          <w:rStyle w:val="VerbatimChar"/>
        </w:rPr>
        <w:t xml:space="preserve">ExportWDelete</w:t>
      </w:r>
      <w:r>
        <w:t xml:space="preserve"> </w:t>
      </w:r>
      <w:r>
        <w:t xml:space="preserve">доступен в автодокументации модуля:</w:t>
      </w:r>
    </w:p>
    <w:p>
      <w:pPr>
        <w:pStyle w:val="Compact"/>
        <w:numPr>
          <w:ilvl w:val="0"/>
          <w:numId w:val="1003"/>
        </w:numPr>
      </w:pPr>
      <w:r>
        <w:t xml:space="preserve">функции:</w:t>
      </w:r>
      <w:r>
        <w:t xml:space="preserve"> </w:t>
      </w:r>
      <w:r>
        <w:rPr>
          <w:rStyle w:val="VerbatimChar"/>
        </w:rPr>
        <w:t xml:space="preserve">?id=Help/Show&amp;m=Help/Help/Module/Functions&amp;module=Record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действия:</w:t>
      </w:r>
      <w:r>
        <w:t xml:space="preserve"> </w:t>
      </w:r>
      <w:r>
        <w:rPr>
          <w:rStyle w:val="VerbatimChar"/>
        </w:rPr>
        <w:t xml:space="preserve">?id=Help/Show&amp;m=Help/Help/Module/Actions&amp;module=Record</w:t>
      </w:r>
      <w:r>
        <w:t xml:space="preserve">.</w:t>
      </w:r>
    </w:p>
    <w:p>
      <w:pPr>
        <w:pStyle w:val="FirstParagraph"/>
      </w:pPr>
      <w:r>
        <w:t xml:space="preserve">Для пользовательских сценариев следует обращаться к справке тех модулей, которые используют записи: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Cataloguer</w:t>
      </w:r>
      <w:r>
        <w:t xml:space="preserve">,</w:t>
      </w:r>
      <w:r>
        <w:t xml:space="preserve"> </w:t>
      </w:r>
      <w:r>
        <w:rPr>
          <w:rStyle w:val="VerbatimChar"/>
        </w:rPr>
        <w:t xml:space="preserve">FT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и другим предметным разделам.</w:t>
      </w:r>
    </w:p>
    <w:bookmarkEnd w:id="15"/>
    <w:bookmarkEnd w:id="16"/>
    <w:bookmarkStart w:id="23" w:name="кеширование-содержимого-записи-и-sid"/>
    <w:p>
      <w:pPr>
        <w:pStyle w:val="Heading2"/>
      </w:pPr>
      <w:r>
        <w:t xml:space="preserve">Кеширование содержимого записи и SID</w:t>
      </w:r>
    </w:p>
    <w:p>
      <w:pPr>
        <w:pStyle w:val="FirstParagraph"/>
      </w:pPr>
      <w:r>
        <w:t xml:space="preserve">Раздел описывает служебный кеш, который ускоряет повторное чтение записей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и заменяет старый путь прямого файлового кеширования через</w:t>
      </w:r>
      <w:r>
        <w:t xml:space="preserve"> </w:t>
      </w:r>
      <w:r>
        <w:rPr>
          <w:rStyle w:val="VerbatimChar"/>
        </w:rPr>
        <w:t xml:space="preserve">General-&gt;GetSidFile/SetSidFile</w:t>
      </w:r>
      <w:r>
        <w:t xml:space="preserve">.</w:t>
      </w:r>
    </w:p>
    <w:bookmarkStart w:id="17" w:name="что-кешируется"/>
    <w:p>
      <w:pPr>
        <w:pStyle w:val="Heading3"/>
      </w:pPr>
      <w:r>
        <w:t xml:space="preserve">1. Что кешируется</w:t>
      </w:r>
    </w:p>
    <w:p>
      <w:pPr>
        <w:pStyle w:val="FirstParagraph"/>
      </w:pPr>
      <w:r>
        <w:t xml:space="preserve">Для записи используются два типа ключей системного кеша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Record_Content_&lt;db&gt;_&lt;mfn&gt;</w:t>
            </w:r>
          </w:p>
        </w:tc>
        <w:tc>
          <w:tcPr/>
          <w:p>
            <w:pPr>
              <w:pStyle w:val="Compact"/>
            </w:pPr>
            <w:r>
              <w:t xml:space="preserve">Содержимое записи из базы</w:t>
            </w:r>
            <w:r>
              <w:t xml:space="preserve"> </w:t>
            </w:r>
            <w:r>
              <w:rPr>
                <w:rStyle w:val="VerbatimChar"/>
              </w:rPr>
              <w:t xml:space="preserve">&lt;db&gt;</w:t>
            </w:r>
            <w:r>
              <w:t xml:space="preserve"> </w:t>
            </w:r>
            <w:r>
              <w:t xml:space="preserve">с положительным MFN.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Record_Content_&lt;db&gt;_SID_&lt;sid&gt;</w:t>
            </w:r>
          </w:p>
        </w:tc>
        <w:tc>
          <w:tcPr/>
          <w:p>
            <w:pPr>
              <w:pStyle w:val="Compact"/>
            </w:pPr>
            <w:r>
              <w:t xml:space="preserve">Содержимое записи, у которой еще нет положительного MFN или оно недоступно.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Record_SidMap_&lt;sid&gt;</w:t>
            </w:r>
          </w:p>
        </w:tc>
        <w:tc>
          <w:tcPr/>
          <w:p>
            <w:pPr>
              <w:pStyle w:val="Compact"/>
            </w:pPr>
            <w:r>
              <w:t xml:space="preserve">Карта SID к базе, MFN и ключу содержимого записи.</w:t>
            </w:r>
          </w:p>
        </w:tc>
      </w:tr>
    </w:tbl>
    <w:p>
      <w:pPr>
        <w:pStyle w:val="BodyText"/>
      </w:pPr>
      <w:r>
        <w:t xml:space="preserve">Значение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 </w:t>
      </w:r>
      <w:r>
        <w:t xml:space="preserve">хранит массив записи в том же виде, который возвращает</w:t>
      </w:r>
      <w:r>
        <w:t xml:space="preserve"> </w:t>
      </w:r>
      <w:r>
        <w:rPr>
          <w:rStyle w:val="VerbatimChar"/>
        </w:rPr>
        <w:t xml:space="preserve">Record-&gt;GetAsArray()</w:t>
      </w:r>
      <w:r>
        <w:t xml:space="preserve">. Карта</w:t>
      </w:r>
      <w:r>
        <w:t xml:space="preserve"> </w:t>
      </w:r>
      <w:r>
        <w:rPr>
          <w:rStyle w:val="VerbatimChar"/>
        </w:rPr>
        <w:t xml:space="preserve">Record_SidMap_*</w:t>
      </w:r>
      <w:r>
        <w:t xml:space="preserve"> </w:t>
      </w:r>
      <w:r>
        <w:t xml:space="preserve">позволяет восстановить, в какой базе и под каким MFN находится запись с заданным SID, не выполняя полный обход записей.</w:t>
      </w:r>
    </w:p>
    <w:bookmarkEnd w:id="17"/>
    <w:bookmarkStart w:id="18" w:name="чтение-записи"/>
    <w:p>
      <w:pPr>
        <w:pStyle w:val="Heading3"/>
      </w:pPr>
      <w:r>
        <w:t xml:space="preserve">2. Чтение записи</w:t>
      </w:r>
    </w:p>
    <w:p>
      <w:pPr>
        <w:pStyle w:val="FirstParagraph"/>
      </w:pPr>
      <w:r>
        <w:rPr>
          <w:rStyle w:val="VerbatimChar"/>
        </w:rPr>
        <w:t xml:space="preserve">Database-&gt;RecRead($mfn, false)</w:t>
      </w:r>
      <w:r>
        <w:t xml:space="preserve"> </w:t>
      </w:r>
      <w:r>
        <w:t xml:space="preserve">сначала проверяет</w:t>
      </w:r>
      <w:r>
        <w:t xml:space="preserve"> </w:t>
      </w:r>
      <w:r>
        <w:rPr>
          <w:rStyle w:val="VerbatimChar"/>
        </w:rPr>
        <w:t xml:space="preserve">Record_Content_&lt;db&gt;_&lt;mfn&gt;</w:t>
      </w:r>
      <w:r>
        <w:t xml:space="preserve">. Если запись найдена в кеше, объект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восстанавливается из массива без обращения к провайдеру данных.</w:t>
      </w:r>
    </w:p>
    <w:p>
      <w:pPr>
        <w:pStyle w:val="BodyText"/>
      </w:pPr>
      <w:r>
        <w:t xml:space="preserve">Если чтение выполняется с блокировкой (</w:t>
      </w:r>
      <w:r>
        <w:rPr>
          <w:rStyle w:val="VerbatimChar"/>
        </w:rPr>
        <w:t xml:space="preserve">RecRead($mfn, true)</w:t>
      </w:r>
      <w:r>
        <w:t xml:space="preserve">), кеш не используется: запись должна быть получена из провайдера данных, чтобы блокировка и актуальное состояние были согласованы.</w:t>
      </w:r>
    </w:p>
    <w:bookmarkEnd w:id="18"/>
    <w:bookmarkStart w:id="19" w:name="поиск-по-sid"/>
    <w:p>
      <w:pPr>
        <w:pStyle w:val="Heading3"/>
      </w:pPr>
      <w:r>
        <w:t xml:space="preserve">3. Поиск по SID</w:t>
      </w:r>
    </w:p>
    <w:p>
      <w:pPr>
        <w:pStyle w:val="FirstParagraph"/>
      </w:pPr>
      <w:r>
        <w:rPr>
          <w:rStyle w:val="VerbatimChar"/>
        </w:rPr>
        <w:t xml:space="preserve">Record-&gt;GetBySid($sid, $dbname)</w:t>
      </w:r>
      <w:r>
        <w:t xml:space="preserve"> </w:t>
      </w:r>
      <w:r>
        <w:t xml:space="preserve">сначала читает</w:t>
      </w:r>
      <w:r>
        <w:t xml:space="preserve"> </w:t>
      </w:r>
      <w:r>
        <w:rPr>
          <w:rStyle w:val="VerbatimChar"/>
        </w:rPr>
        <w:t xml:space="preserve">Record_SidMap_&lt;sid&gt;</w:t>
      </w:r>
      <w:r>
        <w:t xml:space="preserve">, затем получает связанный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. Если карта или содержимое отсутствуют, выполняется прежний путь восстановления:</w:t>
      </w:r>
    </w:p>
    <w:p>
      <w:pPr>
        <w:pStyle w:val="Compact"/>
        <w:numPr>
          <w:ilvl w:val="0"/>
          <w:numId w:val="1004"/>
        </w:numPr>
      </w:pPr>
      <w:r>
        <w:t xml:space="preserve">создается объект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с указанным SID;</w:t>
      </w:r>
    </w:p>
    <w:p>
      <w:pPr>
        <w:pStyle w:val="Compact"/>
        <w:numPr>
          <w:ilvl w:val="0"/>
          <w:numId w:val="1004"/>
        </w:numPr>
      </w:pPr>
      <w:r>
        <w:t xml:space="preserve">вызывается</w:t>
      </w:r>
      <w:r>
        <w:t xml:space="preserve"> </w:t>
      </w:r>
      <w:r>
        <w:rPr>
          <w:rStyle w:val="VerbatimChar"/>
        </w:rPr>
        <w:t xml:space="preserve">SidReload()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если SID-данные не найдены, выполняется поиск через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по</w:t>
      </w:r>
      <w:r>
        <w:t xml:space="preserve"> </w:t>
      </w:r>
      <w:r>
        <w:rPr>
          <w:rStyle w:val="VerbatimChar"/>
        </w:rPr>
        <w:t xml:space="preserve">I128FSID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для основной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допускается резервный обход записей, после которого найденная запись снова помещается в кеш.</w:t>
      </w:r>
    </w:p>
    <w:bookmarkEnd w:id="19"/>
    <w:bookmarkStart w:id="20" w:name="сохранение-и-сброс"/>
    <w:p>
      <w:pPr>
        <w:pStyle w:val="Heading3"/>
      </w:pPr>
      <w:r>
        <w:t xml:space="preserve">4. Сохранение и сброс</w:t>
      </w:r>
    </w:p>
    <w:p>
      <w:pPr>
        <w:pStyle w:val="FirstParagraph"/>
      </w:pPr>
      <w:r>
        <w:rPr>
          <w:rStyle w:val="VerbatimChar"/>
        </w:rPr>
        <w:t xml:space="preserve">Record-&gt;SidSave()</w:t>
      </w:r>
      <w:r>
        <w:t xml:space="preserve"> </w:t>
      </w:r>
      <w:r>
        <w:t xml:space="preserve">сохраняет содержимое записи в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 </w:t>
      </w:r>
      <w:r>
        <w:t xml:space="preserve">и обновляет</w:t>
      </w:r>
      <w:r>
        <w:t xml:space="preserve"> </w:t>
      </w:r>
      <w:r>
        <w:rPr>
          <w:rStyle w:val="VerbatimChar"/>
        </w:rPr>
        <w:t xml:space="preserve">Record_SidMap_*</w:t>
      </w:r>
      <w:r>
        <w:t xml:space="preserve"> </w:t>
      </w:r>
      <w:r>
        <w:t xml:space="preserve">с временем жизни 3600 секунд.</w:t>
      </w:r>
    </w:p>
    <w:p>
      <w:pPr>
        <w:pStyle w:val="BodyText"/>
      </w:pPr>
      <w:r>
        <w:t xml:space="preserve">При удалении записи</w:t>
      </w:r>
      <w:r>
        <w:t xml:space="preserve"> </w:t>
      </w:r>
      <w:r>
        <w:rPr>
          <w:rStyle w:val="VerbatimChar"/>
        </w:rPr>
        <w:t xml:space="preserve">Database-&gt;DeleteRec()</w:t>
      </w:r>
      <w:r>
        <w:t xml:space="preserve"> </w:t>
      </w:r>
      <w:r>
        <w:t xml:space="preserve">очищает: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Record_SidMap_&lt;sid&gt;</w:t>
      </w:r>
      <w:r>
        <w:t xml:space="preserve">, если SID был найден;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Record_Content_&lt;db&gt;_&lt;mfn&gt;</w:t>
      </w:r>
      <w:r>
        <w:t xml:space="preserve"> </w:t>
      </w:r>
      <w:r>
        <w:t xml:space="preserve">для удаляемого MFN.</w:t>
      </w:r>
    </w:p>
    <w:p>
      <w:pPr>
        <w:pStyle w:val="FirstParagraph"/>
      </w:pPr>
      <w:r>
        <w:t xml:space="preserve">Такой сброс нужен, чтобы последующее чтение не вернуло устаревшее содержимое удаленной записи.</w:t>
      </w:r>
    </w:p>
    <w:bookmarkEnd w:id="20"/>
    <w:bookmarkStart w:id="21" w:name="уровни-хранения"/>
    <w:p>
      <w:pPr>
        <w:pStyle w:val="Heading3"/>
      </w:pPr>
      <w:r>
        <w:t xml:space="preserve">5. Уровни хранения</w:t>
      </w:r>
    </w:p>
    <w:p>
      <w:pPr>
        <w:pStyle w:val="FirstParagraph"/>
      </w:pPr>
      <w:r>
        <w:t xml:space="preserve">Ключи</w:t>
      </w:r>
      <w:r>
        <w:t xml:space="preserve"> </w:t>
      </w:r>
      <w:r>
        <w:rPr>
          <w:rStyle w:val="VerbatimChar"/>
        </w:rPr>
        <w:t xml:space="preserve">Record_*</w:t>
      </w:r>
      <w:r>
        <w:t xml:space="preserve"> </w:t>
      </w:r>
      <w:r>
        <w:t xml:space="preserve">используют общий класс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 В зависимости от окружения он хранит данные:</w:t>
      </w:r>
    </w:p>
    <w:p>
      <w:pPr>
        <w:pStyle w:val="Compact"/>
        <w:numPr>
          <w:ilvl w:val="0"/>
          <w:numId w:val="1006"/>
        </w:numPr>
      </w:pPr>
      <w:r>
        <w:t xml:space="preserve">в краткоживущем L1-кеше текущего PHP-процесса;</w:t>
      </w:r>
    </w:p>
    <w:p>
      <w:pPr>
        <w:pStyle w:val="Compact"/>
        <w:numPr>
          <w:ilvl w:val="0"/>
          <w:numId w:val="1006"/>
        </w:numPr>
      </w:pPr>
      <w:r>
        <w:t xml:space="preserve">в APCu, если расширение доступно и включено;</w:t>
      </w:r>
    </w:p>
    <w:p>
      <w:pPr>
        <w:pStyle w:val="Compact"/>
        <w:numPr>
          <w:ilvl w:val="0"/>
          <w:numId w:val="1006"/>
        </w:numPr>
      </w:pPr>
      <w:r>
        <w:t xml:space="preserve">в SQLite fallback-файле</w:t>
      </w:r>
      <w:r>
        <w:t xml:space="preserve"> </w:t>
      </w:r>
      <w:r>
        <w:rPr>
          <w:rStyle w:val="VerbatimChar"/>
        </w:rPr>
        <w:t xml:space="preserve">Cache.db</w:t>
      </w:r>
      <w:r>
        <w:t xml:space="preserve">, если APCu недоступен.</w:t>
      </w:r>
    </w:p>
    <w:p>
      <w:pPr>
        <w:pStyle w:val="FirstParagraph"/>
      </w:pPr>
      <w:r>
        <w:t xml:space="preserve">Ключи кеша имеют namespace текущей инсталляции, поэтому данные разных установок не должны смешиваться при одинаковых именах баз и MFN.</w:t>
      </w:r>
    </w:p>
    <w:bookmarkEnd w:id="21"/>
    <w:bookmarkStart w:id="22" w:name="что-осталось-в-sid-хранилище"/>
    <w:p>
      <w:pPr>
        <w:pStyle w:val="Heading3"/>
      </w:pPr>
      <w:r>
        <w:t xml:space="preserve">6. Что осталось в SID-хранилище</w:t>
      </w:r>
    </w:p>
    <w:p>
      <w:pPr>
        <w:pStyle w:val="FirstParagraph"/>
      </w:pPr>
      <w:r>
        <w:t xml:space="preserve">SID-файлы не исчезли полностью. Они по-прежнему используются для внешних файлов, SQLite-таблиц записи, блокировок и других данных, которые физически должны храниться рядом с SID. Изменение касается горячего пути повторного чтения самой записи и карты SID к записи.</w:t>
      </w:r>
    </w:p>
    <w:bookmarkEnd w:id="22"/>
    <w:bookmarkEnd w:id="23"/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Record/Help/SidCach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Record/Help/SidCach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Руководство пользователя</dc:title>
  <dc:creator/>
  <cp:keywords/>
  <dcterms:created xsi:type="dcterms:W3CDTF">2026-08-31T13:12:20Z</dcterms:created>
  <dcterms:modified xsi:type="dcterms:W3CDTF">2026-08-31T13:12:20Z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