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NJP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njp"/>
    <w:p>
      <w:pPr>
        <w:pStyle w:val="Heading1"/>
      </w:pPr>
      <w:r>
        <w:t xml:space="preserve">Назначение NJP</w:t>
      </w:r>
    </w:p>
    <w:p>
      <w:pPr>
        <w:pStyle w:val="FirstParagraph"/>
      </w:pPr>
      <w:r>
        <w:rPr>
          <w:rStyle w:val="VerbatimChar"/>
        </w:rPr>
        <w:t xml:space="preserve">NJP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NJP</w:t>
      </w:r>
      <w:r>
        <w:t xml:space="preserve">. Он используется для описания номера периодического издания внутри подшивки, когда номер должен выводиться и редактироваться отдельно от карточки всей подшивки.</w:t>
      </w:r>
    </w:p>
    <w:p>
      <w:pPr>
        <w:pStyle w:val="BodyText"/>
      </w:pPr>
      <w:r>
        <w:t xml:space="preserve">Модуль использует полевой редактор и набор форматов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 которые отвечают за краткое, полное и визуальное представление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NJP</dc:title>
  <dc:creator/>
  <cp:keywords/>
  <dcterms:created xsi:type="dcterms:W3CDTF">2026-08-31T14:18:04Z</dcterms:created>
  <dcterms:modified xsi:type="dcterms:W3CDTF">2026-08-31T14:18:04Z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