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Алгоритм слияния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алгоритм-слияния"/>
    <w:p>
      <w:pPr>
        <w:pStyle w:val="Heading1"/>
      </w:pPr>
      <w:r>
        <w:t xml:space="preserve">Алгоритм слияния</w:t>
      </w:r>
    </w:p>
    <w:p>
      <w:pPr>
        <w:pStyle w:val="FirstParagraph"/>
      </w:pPr>
      <w:r>
        <w:t xml:space="preserve">Основной маршрут выполнения: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Merge</w:t>
      </w:r>
      <w:r>
        <w:t xml:space="preserve"> </w:t>
      </w:r>
      <w:r>
        <w:t xml:space="preserve">принимает запись-приемник, запись-источник и контекст</w:t>
      </w:r>
      <w:r>
        <w:t xml:space="preserve"> </w:t>
      </w:r>
      <w:r>
        <w:rPr>
          <w:rStyle w:val="VerbatimChar"/>
        </w:rPr>
        <w:t xml:space="preserve">res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Если в</w:t>
      </w:r>
      <w:r>
        <w:t xml:space="preserve"> </w:t>
      </w:r>
      <w:r>
        <w:rPr>
          <w:rStyle w:val="VerbatimChar"/>
        </w:rPr>
        <w:t xml:space="preserve">res</w:t>
      </w:r>
      <w:r>
        <w:t xml:space="preserve"> </w:t>
      </w:r>
      <w:r>
        <w:t xml:space="preserve">есть шифры</w:t>
      </w:r>
      <w:r>
        <w:t xml:space="preserve"> </w:t>
      </w:r>
      <w:r>
        <w:rPr>
          <w:rStyle w:val="VerbatimChar"/>
        </w:rPr>
        <w:t xml:space="preserve">jssh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njssh</w:t>
      </w:r>
      <w:r>
        <w:t xml:space="preserve">, модуль ищет связанные записи журнала и номера в базе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sprepareRecord</w:t>
      </w:r>
      <w:r>
        <w:t xml:space="preserve"> </w:t>
      </w:r>
      <w:r>
        <w:t xml:space="preserve">очищает пустые поля записи-приемника и проверяет режим эталонной записи.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sprepareMergeClientRecord</w:t>
      </w:r>
      <w:r>
        <w:t xml:space="preserve"> </w:t>
      </w:r>
      <w:r>
        <w:t xml:space="preserve">проходит по полям записи-источника.</w:t>
      </w:r>
    </w:p>
    <w:p>
      <w:pPr>
        <w:pStyle w:val="Compact"/>
        <w:numPr>
          <w:ilvl w:val="0"/>
          <w:numId w:val="1001"/>
        </w:numPr>
      </w:pPr>
      <w:r>
        <w:t xml:space="preserve">Для каждого поля сначала вызывается</w:t>
      </w:r>
      <w:r>
        <w:t xml:space="preserve"> </w:t>
      </w:r>
      <w:r>
        <w:rPr>
          <w:rStyle w:val="VerbatimChar"/>
        </w:rPr>
        <w:t xml:space="preserve">SetField</w:t>
      </w:r>
      <w:r>
        <w:t xml:space="preserve">, затем при необходимости</w:t>
      </w:r>
      <w:r>
        <w:t xml:space="preserve"> </w:t>
      </w:r>
      <w:r>
        <w:rPr>
          <w:rStyle w:val="VerbatimChar"/>
        </w:rPr>
        <w:t xml:space="preserve">SetFieldOcc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TryToLoadMerger</w:t>
      </w:r>
      <w:r>
        <w:t xml:space="preserve"> </w:t>
      </w:r>
      <w:r>
        <w:t xml:space="preserve">ищет специализированный мергер в</w:t>
      </w:r>
      <w:r>
        <w:t xml:space="preserve"> </w:t>
      </w:r>
      <w:r>
        <w:rPr>
          <w:rStyle w:val="VerbatimChar"/>
        </w:rPr>
        <w:t xml:space="preserve">modules/MergeRecords/FieldMergers/&lt;тип&gt;/&lt;поле&gt;.inc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После общего слияния последовательно вызываются предметные функции</w:t>
      </w:r>
      <w:r>
        <w:t xml:space="preserve"> </w:t>
      </w:r>
      <w:r>
        <w:rPr>
          <w:rStyle w:val="VerbatimChar"/>
        </w:rPr>
        <w:t xml:space="preserve">sprepareNJ</w:t>
      </w:r>
      <w:r>
        <w:t xml:space="preserve">,</w:t>
      </w:r>
      <w:r>
        <w:t xml:space="preserve"> </w:t>
      </w:r>
      <w:r>
        <w:rPr>
          <w:rStyle w:val="VerbatimChar"/>
        </w:rPr>
        <w:t xml:space="preserve">sprepareASP</w:t>
      </w:r>
      <w:r>
        <w:t xml:space="preserve">,</w:t>
      </w:r>
      <w:r>
        <w:t xml:space="preserve"> </w:t>
      </w:r>
      <w:r>
        <w:rPr>
          <w:rStyle w:val="VerbatimChar"/>
        </w:rPr>
        <w:t xml:space="preserve">sprepare330</w:t>
      </w:r>
      <w:r>
        <w:t xml:space="preserve">,</w:t>
      </w:r>
      <w:r>
        <w:t xml:space="preserve"> </w:t>
      </w:r>
      <w:r>
        <w:rPr>
          <w:rStyle w:val="VerbatimChar"/>
        </w:rPr>
        <w:t xml:space="preserve">sprepare691</w:t>
      </w:r>
      <w:r>
        <w:t xml:space="preserve">,</w:t>
      </w:r>
      <w:r>
        <w:t xml:space="preserve"> </w:t>
      </w:r>
      <w:r>
        <w:rPr>
          <w:rStyle w:val="VerbatimChar"/>
        </w:rPr>
        <w:t xml:space="preserve">sprepareRDR</w:t>
      </w:r>
      <w:r>
        <w:t xml:space="preserve">,</w:t>
      </w:r>
      <w:r>
        <w:t xml:space="preserve"> </w:t>
      </w:r>
      <w:r>
        <w:rPr>
          <w:rStyle w:val="VerbatimChar"/>
        </w:rPr>
        <w:t xml:space="preserve">sprepare902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Для оставшихся полей может быть построена частотная карта значений по записям-источникам из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.</w:t>
      </w:r>
    </w:p>
    <w:p>
      <w:pPr>
        <w:pStyle w:val="FirstParagraph"/>
      </w:pPr>
      <w:r>
        <w:t xml:space="preserve">Режим эталонной записи работает двумя способами:</w:t>
      </w:r>
    </w:p>
    <w:p>
      <w:pPr>
        <w:pStyle w:val="Compact"/>
        <w:numPr>
          <w:ilvl w:val="0"/>
          <w:numId w:val="1002"/>
        </w:numPr>
      </w:pPr>
      <w:r>
        <w:t xml:space="preserve">через настройку</w:t>
      </w:r>
      <w:r>
        <w:t xml:space="preserve"> </w:t>
      </w:r>
      <w:r>
        <w:rPr>
          <w:rStyle w:val="VerbatimChar"/>
        </w:rPr>
        <w:t xml:space="preserve">importEtalonDb</w:t>
      </w:r>
      <w:r>
        <w:t xml:space="preserve">: если уже есть запись из эталонной БД, остальные источники не меняют основное содержание, но держатель</w:t>
      </w:r>
      <w:r>
        <w:t xml:space="preserve"> </w:t>
      </w:r>
      <w:r>
        <w:rPr>
          <w:rStyle w:val="VerbatimChar"/>
        </w:rPr>
        <w:t xml:space="preserve">902</w:t>
      </w:r>
      <w:r>
        <w:t xml:space="preserve"> </w:t>
      </w:r>
      <w:r>
        <w:t xml:space="preserve">все равно обрабатывается;</w:t>
      </w:r>
    </w:p>
    <w:p>
      <w:pPr>
        <w:pStyle w:val="Compact"/>
        <w:numPr>
          <w:ilvl w:val="0"/>
          <w:numId w:val="1002"/>
        </w:numPr>
      </w:pPr>
      <w:r>
        <w:t xml:space="preserve">через формат</w:t>
      </w:r>
      <w:r>
        <w:t xml:space="preserve"> </w:t>
      </w:r>
      <w:r>
        <w:rPr>
          <w:rStyle w:val="VerbatimChar"/>
        </w:rPr>
        <w:t xml:space="preserve">fmtEtalonESVODT</w:t>
      </w:r>
      <w:r>
        <w:t xml:space="preserve">: если формат для сводной записи возвращает</w:t>
      </w:r>
      <w:r>
        <w:t xml:space="preserve"> </w:t>
      </w:r>
      <w:r>
        <w:rPr>
          <w:rStyle w:val="VerbatimChar"/>
        </w:rPr>
        <w:t xml:space="preserve">1</w:t>
      </w:r>
      <w:r>
        <w:t xml:space="preserve">, основное слияние пропускается, а обрабатывается только</w:t>
      </w:r>
      <w:r>
        <w:t xml:space="preserve"> </w:t>
      </w:r>
      <w:r>
        <w:rPr>
          <w:rStyle w:val="VerbatimChar"/>
        </w:rPr>
        <w:t xml:space="preserve">902</w:t>
      </w:r>
      <w:r>
        <w:t xml:space="preserve">.</w:t>
      </w:r>
    </w:p>
    <w:p>
      <w:pPr>
        <w:pStyle w:val="FirstParagraph"/>
      </w:pPr>
      <w:r>
        <w:t xml:space="preserve">Особые функции: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sprepareNJ</w:t>
      </w:r>
      <w:r>
        <w:t xml:space="preserve"> </w:t>
      </w:r>
      <w:r>
        <w:t xml:space="preserve">поддерживает связи номера журнала с записью журнала и при необходимости пытается подтянуть</w:t>
      </w:r>
      <w:r>
        <w:t xml:space="preserve"> </w:t>
      </w:r>
      <w:r>
        <w:rPr>
          <w:rStyle w:val="VerbatimChar"/>
        </w:rPr>
        <w:t xml:space="preserve">922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MARS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sprepareASP</w:t>
      </w:r>
      <w:r>
        <w:t xml:space="preserve"> </w:t>
      </w:r>
      <w:r>
        <w:t xml:space="preserve">устанавливает связь аналитической записи с номером журнала через</w:t>
      </w:r>
      <w:r>
        <w:t xml:space="preserve"> </w:t>
      </w:r>
      <w:r>
        <w:rPr>
          <w:rStyle w:val="VerbatimChar"/>
        </w:rPr>
        <w:t xml:space="preserve">463^W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sprepare330</w:t>
      </w:r>
      <w:r>
        <w:t xml:space="preserve"> </w:t>
      </w:r>
      <w:r>
        <w:t xml:space="preserve">выбирает аннотацию с большим числом повторений поля</w:t>
      </w:r>
      <w:r>
        <w:t xml:space="preserve"> </w:t>
      </w:r>
      <w:r>
        <w:rPr>
          <w:rStyle w:val="VerbatimChar"/>
        </w:rPr>
        <w:t xml:space="preserve">330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sprepare922</w:t>
      </w:r>
      <w:r>
        <w:t xml:space="preserve"> </w:t>
      </w:r>
      <w:r>
        <w:t xml:space="preserve">выбирает оглавление с большим числом повторений поля</w:t>
      </w:r>
      <w:r>
        <w:t xml:space="preserve"> </w:t>
      </w:r>
      <w:r>
        <w:rPr>
          <w:rStyle w:val="VerbatimChar"/>
        </w:rPr>
        <w:t xml:space="preserve">922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sprepareRDR</w:t>
      </w:r>
      <w:r>
        <w:t xml:space="preserve"> </w:t>
      </w:r>
      <w:r>
        <w:t xml:space="preserve">добавляет служебные данные авторизации для читательских записей</w:t>
      </w:r>
      <w:r>
        <w:t xml:space="preserve"> </w:t>
      </w:r>
      <w:r>
        <w:rPr>
          <w:rStyle w:val="VerbatimChar"/>
        </w:rPr>
        <w:t xml:space="preserve">RDR</w:t>
      </w:r>
      <w:r>
        <w:t xml:space="preserve">/</w:t>
      </w:r>
      <w:r>
        <w:rPr>
          <w:rStyle w:val="VerbatimChar"/>
        </w:rPr>
        <w:t xml:space="preserve">RDRU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sprepare902</w:t>
      </w:r>
      <w:r>
        <w:t xml:space="preserve"> </w:t>
      </w:r>
      <w:r>
        <w:t xml:space="preserve">добавляет или обновляет сведения о держателе документа.</w:t>
      </w:r>
    </w:p>
    <w:p>
      <w:pPr>
        <w:pStyle w:val="FirstParagraph"/>
      </w:pPr>
      <w:r>
        <w:t xml:space="preserve">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,</w:t>
      </w:r>
      <w:r>
        <w:t xml:space="preserve"> </w:t>
      </w:r>
      <w:r>
        <w:rPr>
          <w:rStyle w:val="VerbatimChar"/>
        </w:rPr>
        <w:t xml:space="preserve">902</w:t>
      </w:r>
      <w:r>
        <w:t xml:space="preserve">,</w:t>
      </w:r>
      <w:r>
        <w:t xml:space="preserve"> </w:t>
      </w:r>
      <w:r>
        <w:rPr>
          <w:rStyle w:val="VerbatimChar"/>
        </w:rPr>
        <w:t xml:space="preserve">903</w:t>
      </w:r>
      <w:r>
        <w:t xml:space="preserve">,</w:t>
      </w:r>
      <w:r>
        <w:t xml:space="preserve"> </w:t>
      </w:r>
      <w:r>
        <w:rPr>
          <w:rStyle w:val="VerbatimChar"/>
        </w:rPr>
        <w:t xml:space="preserve">907</w:t>
      </w:r>
      <w:r>
        <w:t xml:space="preserve">,</w:t>
      </w:r>
      <w:r>
        <w:t xml:space="preserve"> </w:t>
      </w:r>
      <w:r>
        <w:rPr>
          <w:rStyle w:val="VerbatimChar"/>
        </w:rPr>
        <w:t xml:space="preserve">1288</w:t>
      </w:r>
      <w:r>
        <w:t xml:space="preserve">,</w:t>
      </w:r>
      <w:r>
        <w:t xml:space="preserve"> </w:t>
      </w:r>
      <w:r>
        <w:rPr>
          <w:rStyle w:val="VerbatimChar"/>
        </w:rPr>
        <w:t xml:space="preserve">1289</w:t>
      </w:r>
      <w:r>
        <w:t xml:space="preserve"> </w:t>
      </w:r>
      <w:r>
        <w:t xml:space="preserve">и поля, обработанные специализированными мержерами, исключаются из статистического выбора значений через</w:t>
      </w:r>
      <w:r>
        <w:t xml:space="preserve"> </w:t>
      </w:r>
      <w:r>
        <w:rPr>
          <w:rStyle w:val="VerbatimChar"/>
        </w:rPr>
        <w:t xml:space="preserve">UnsetStatField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Алгоритм слияния</dc:title>
  <dc:creator/>
  <cp:keywords/>
  <dcterms:created xsi:type="dcterms:W3CDTF">2026-08-31T03:07:23Z</dcterms:created>
  <dcterms:modified xsi:type="dcterms:W3CDTF">2026-08-31T03:07:23Z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