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MergeRecords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и-mergerecords"/>
    <w:p>
      <w:pPr>
        <w:pStyle w:val="Heading1"/>
      </w:pPr>
      <w:r>
        <w:t xml:space="preserve">Настройки MergeRecords</w:t>
      </w:r>
    </w:p>
    <w:p>
      <w:pPr>
        <w:pStyle w:val="FirstParagraph"/>
      </w:pPr>
      <w:r>
        <w:t xml:space="preserve">Настройки модуля хранятся в записи модуля и редактируются через стандартный редактор настроек.</w:t>
      </w:r>
    </w:p>
    <w:p>
      <w:pPr>
        <w:pStyle w:val="BodyText"/>
      </w:pPr>
      <w:r>
        <w:t xml:space="preserve">Основные группы настроек: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importEtalonDb</w:t>
      </w:r>
      <w:r>
        <w:t xml:space="preserve"> </w:t>
      </w:r>
      <w:r>
        <w:t xml:space="preserve">- имя эталонной БД-источника;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fmtEtalonESVODT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fmtEtalonESVODTModule</w:t>
      </w:r>
      <w:r>
        <w:t xml:space="preserve"> </w:t>
      </w:r>
      <w:r>
        <w:t xml:space="preserve">- формат, определяющий, является ли сводная запись эталонной;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fieldRules</w:t>
      </w:r>
      <w:r>
        <w:t xml:space="preserve"> </w:t>
      </w:r>
      <w:r>
        <w:t xml:space="preserve">- специальные правила обработки отдельных полей;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импорта ссылок из</w:t>
      </w:r>
      <w:r>
        <w:t xml:space="preserve"> </w:t>
      </w:r>
      <w:r>
        <w:rPr>
          <w:rStyle w:val="VerbatimChar"/>
        </w:rPr>
        <w:t xml:space="preserve">951</w:t>
      </w:r>
      <w:r>
        <w:t xml:space="preserve">,</w:t>
      </w:r>
      <w:r>
        <w:t xml:space="preserve"> </w:t>
      </w:r>
      <w:r>
        <w:rPr>
          <w:rStyle w:val="VerbatimChar"/>
        </w:rPr>
        <w:t xml:space="preserve">955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масочные правила для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import951UrlFilterFunctionName</w:t>
      </w:r>
      <w:r>
        <w:t xml:space="preserve"> </w:t>
      </w:r>
      <w:r>
        <w:t xml:space="preserve">- имя функции фильтра ссылок;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флаги</w:t>
      </w:r>
      <w:r>
        <w:t xml:space="preserve"> </w:t>
      </w:r>
      <w:r>
        <w:rPr>
          <w:rStyle w:val="VerbatimChar"/>
        </w:rPr>
        <w:t xml:space="preserve">advImportAuthorWorkPlace</w:t>
      </w:r>
      <w:r>
        <w:t xml:space="preserve">,</w:t>
      </w:r>
      <w:r>
        <w:t xml:space="preserve"> </w:t>
      </w:r>
      <w:r>
        <w:rPr>
          <w:rStyle w:val="VerbatimChar"/>
        </w:rPr>
        <w:t xml:space="preserve">advRemoveFieldsWithNoSources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advUseSataValuesForDefaultFields</w:t>
      </w:r>
      <w:r>
        <w:t xml:space="preserve">.</w:t>
      </w:r>
    </w:p>
    <w:p>
      <w:pPr>
        <w:pStyle w:val="FirstParagraph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fieldRules</w:t>
      </w:r>
      <w:r>
        <w:t xml:space="preserve"> </w:t>
      </w:r>
      <w:r>
        <w:t xml:space="preserve">задаются по БД-источнику и номеру поля. Поддерживаются режимы: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skip</w:t>
      </w:r>
      <w:r>
        <w:t xml:space="preserve"> </w:t>
      </w:r>
      <w:r>
        <w:t xml:space="preserve">- не обрабатывать поле;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replacefield</w:t>
      </w:r>
      <w:r>
        <w:t xml:space="preserve"> </w:t>
      </w:r>
      <w:r>
        <w:t xml:space="preserve">- использовать все повторения поля из записи-источника;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skipifsvodexists</w:t>
      </w:r>
      <w:r>
        <w:t xml:space="preserve"> </w:t>
      </w:r>
      <w:r>
        <w:t xml:space="preserve">- не обрабатывать поле, если в сводной записи оно уже заполнено.</w:t>
      </w:r>
    </w:p>
    <w:p>
      <w:pPr>
        <w:pStyle w:val="FirstParagraph"/>
      </w:pPr>
      <w:r>
        <w:t xml:space="preserve">Настройки импорта ссылок управляют тем, какие данные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1289^A</w:t>
      </w:r>
      <w:r>
        <w:t xml:space="preserve"> </w:t>
      </w:r>
      <w:r>
        <w:t xml:space="preserve">переносить в сводную запись или отправлять в очередь</w:t>
      </w:r>
      <w:r>
        <w:t xml:space="preserve"> </w:t>
      </w:r>
      <w:r>
        <w:rPr>
          <w:rStyle w:val="VerbatimChar"/>
        </w:rPr>
        <w:t xml:space="preserve">FT/ImportFromLink</w:t>
      </w:r>
      <w:r>
        <w:t xml:space="preserve">. Функции</w:t>
      </w:r>
      <w:r>
        <w:t xml:space="preserve"> </w:t>
      </w:r>
      <w:r>
        <w:rPr>
          <w:rStyle w:val="VerbatimChar"/>
        </w:rPr>
        <w:t xml:space="preserve">UrlFilterFunction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UrlFilterFunctionGPNTB</w:t>
      </w:r>
      <w:r>
        <w:t xml:space="preserve"> </w:t>
      </w:r>
      <w:r>
        <w:t xml:space="preserve">могут разрешать или запрещать импорт конкретной ссылки по контексту источника.</w:t>
      </w:r>
    </w:p>
    <w:p>
      <w:pPr>
        <w:pStyle w:val="BodyText"/>
      </w:pPr>
      <w:r>
        <w:t xml:space="preserve">Файлы</w:t>
      </w:r>
      <w:r>
        <w:t xml:space="preserve"> </w:t>
      </w:r>
      <w:r>
        <w:rPr>
          <w:rStyle w:val="VerbatimChar"/>
        </w:rPr>
        <w:t xml:space="preserve">rl/*.rl</w:t>
      </w:r>
      <w:r>
        <w:t xml:space="preserve"> </w:t>
      </w:r>
      <w:r>
        <w:t xml:space="preserve">используются для построения настроек заимствования полей по типам документов. В них перечислены поля, которые могут быть доступны в редакторе настроек, а также поля, отключенные как технологические или локальные для конкретной организации.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MergeRecords</dc:title>
  <dc:creator/>
  <cp:keywords/>
  <dcterms:created xsi:type="dcterms:W3CDTF">2026-08-30T01:27:57Z</dcterms:created>
  <dcterms:modified xsi:type="dcterms:W3CDTF">2026-08-30T01:27:57Z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