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Iri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iri"/>
    <w:p>
      <w:pPr>
        <w:pStyle w:val="Heading1"/>
      </w:pPr>
      <w:r>
        <w:t xml:space="preserve">Назначение Iri</w:t>
      </w:r>
    </w:p>
    <w:p>
      <w:pPr>
        <w:pStyle w:val="FirstParagraph"/>
      </w:pPr>
      <w:r>
        <w:rPr>
          <w:rStyle w:val="VerbatimChar"/>
        </w:rPr>
        <w:t xml:space="preserve">Iri</w:t>
      </w:r>
      <w:r>
        <w:t xml:space="preserve"> </w:t>
      </w:r>
      <w:r>
        <w:t xml:space="preserve">используется для регулярной отправки пользователям подборок записей по выбранной тематике.</w:t>
      </w:r>
    </w:p>
    <w:p>
      <w:pPr>
        <w:pStyle w:val="BodyText"/>
      </w:pPr>
      <w:r>
        <w:t xml:space="preserve">Основные возможности:</w:t>
      </w:r>
    </w:p>
    <w:p>
      <w:pPr>
        <w:pStyle w:val="Compact"/>
        <w:numPr>
          <w:ilvl w:val="0"/>
          <w:numId w:val="1001"/>
        </w:numPr>
      </w:pPr>
      <w:r>
        <w:t xml:space="preserve">хранение карточек рассылок как записей типа</w:t>
      </w:r>
      <w:r>
        <w:t xml:space="preserve"> </w:t>
      </w:r>
      <w:r>
        <w:rPr>
          <w:rStyle w:val="VerbatimChar"/>
        </w:rPr>
        <w:t xml:space="preserve">Iri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выбор базы читателей и поискового выражения, определяющего получателей;</w:t>
      </w:r>
    </w:p>
    <w:p>
      <w:pPr>
        <w:pStyle w:val="Compact"/>
        <w:numPr>
          <w:ilvl w:val="0"/>
          <w:numId w:val="1001"/>
        </w:numPr>
      </w:pPr>
      <w:r>
        <w:t xml:space="preserve">выбор базы данных и поискового выражения, определяющего материалы рассылки;</w:t>
      </w:r>
    </w:p>
    <w:p>
      <w:pPr>
        <w:pStyle w:val="Compact"/>
        <w:numPr>
          <w:ilvl w:val="0"/>
          <w:numId w:val="1001"/>
        </w:numPr>
      </w:pPr>
      <w:r>
        <w:t xml:space="preserve">автоматическая отправка по периоду и дате последней рассылки;</w:t>
      </w:r>
    </w:p>
    <w:p>
      <w:pPr>
        <w:pStyle w:val="Compact"/>
        <w:numPr>
          <w:ilvl w:val="0"/>
          <w:numId w:val="1001"/>
        </w:numPr>
      </w:pPr>
      <w:r>
        <w:t xml:space="preserve">формирование письма через форматы</w:t>
      </w:r>
      <w:r>
        <w:t xml:space="preserve"> </w:t>
      </w:r>
      <w:r>
        <w:rPr>
          <w:rStyle w:val="VerbatimChar"/>
        </w:rPr>
        <w:t xml:space="preserve">MessageHeader</w:t>
      </w:r>
      <w:r>
        <w:t xml:space="preserve">,</w:t>
      </w:r>
      <w:r>
        <w:t xml:space="preserve"> </w:t>
      </w:r>
      <w:r>
        <w:rPr>
          <w:rStyle w:val="VerbatimChar"/>
        </w:rPr>
        <w:t xml:space="preserve">MessageBook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MessageFooter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формирование защищённых ссылок на записи с параметрами прозрачной авторизации;</w:t>
      </w:r>
    </w:p>
    <w:p>
      <w:pPr>
        <w:pStyle w:val="Compact"/>
        <w:numPr>
          <w:ilvl w:val="0"/>
          <w:numId w:val="1001"/>
        </w:numPr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Iri/UserThemes</w:t>
      </w:r>
      <w:r>
        <w:t xml:space="preserve"> </w:t>
      </w:r>
      <w:r>
        <w:t xml:space="preserve">для выбора тематик в личном кабинете;</w:t>
      </w:r>
    </w:p>
    <w:p>
      <w:pPr>
        <w:pStyle w:val="Compact"/>
        <w:numPr>
          <w:ilvl w:val="0"/>
          <w:numId w:val="1001"/>
        </w:numPr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Iri/Unsubscribe</w:t>
      </w:r>
      <w:r>
        <w:t xml:space="preserve"> </w:t>
      </w:r>
      <w:r>
        <w:t xml:space="preserve">для отказа от рассылки и записи причины отказа в лог.</w:t>
      </w:r>
    </w:p>
    <w:p>
      <w:pPr>
        <w:pStyle w:val="FirstParagraph"/>
      </w:pPr>
      <w:r>
        <w:t xml:space="preserve">Важно учитывать:</w:t>
      </w:r>
    </w:p>
    <w:p>
      <w:pPr>
        <w:pStyle w:val="Compact"/>
        <w:numPr>
          <w:ilvl w:val="0"/>
          <w:numId w:val="1002"/>
        </w:numPr>
      </w:pPr>
      <w:r>
        <w:t xml:space="preserve">отправка выполняется action</w:t>
      </w:r>
      <w:r>
        <w:t xml:space="preserve"> </w:t>
      </w:r>
      <w:r>
        <w:rPr>
          <w:rStyle w:val="VerbatimChar"/>
        </w:rPr>
        <w:t xml:space="preserve">Send</w:t>
      </w:r>
      <w:r>
        <w:t xml:space="preserve">, а периодический контроль очереди - action</w:t>
      </w:r>
      <w:r>
        <w:t xml:space="preserve"> </w:t>
      </w:r>
      <w:r>
        <w:rPr>
          <w:rStyle w:val="VerbatimChar"/>
        </w:rPr>
        <w:t xml:space="preserve">QueueMonitor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для работы нужны корректные настройки баз, форматов и функции отписки;</w:t>
      </w:r>
    </w:p>
    <w:p>
      <w:pPr>
        <w:pStyle w:val="Compact"/>
        <w:numPr>
          <w:ilvl w:val="0"/>
          <w:numId w:val="1002"/>
        </w:numPr>
      </w:pPr>
      <w:r>
        <w:t xml:space="preserve">ссылки в письмах формируются от адреса системы, указанного в настройках рассылки;</w:t>
      </w:r>
    </w:p>
    <w:p>
      <w:pPr>
        <w:pStyle w:val="Compact"/>
        <w:numPr>
          <w:ilvl w:val="0"/>
          <w:numId w:val="1002"/>
        </w:numPr>
      </w:pPr>
      <w:r>
        <w:t xml:space="preserve">для защищенных ссылок в письмах параметры</w:t>
      </w:r>
      <w:r>
        <w:t xml:space="preserve"> </w:t>
      </w:r>
      <w:r>
        <w:rPr>
          <w:rStyle w:val="VerbatimChar"/>
        </w:rPr>
        <w:t xml:space="preserve">transparentAuthKeyName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transparentAuthKey</w:t>
      </w:r>
      <w:r>
        <w:t xml:space="preserve"> </w:t>
      </w:r>
      <w:r>
        <w:t xml:space="preserve">должны соответствовать паре ключей в модуле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; схема описана в разделе</w:t>
      </w:r>
      <w:r>
        <w:t xml:space="preserve"> </w:t>
      </w:r>
      <w:hyperlink r:id="rId9">
        <w:r>
          <w:rPr>
            <w:rStyle w:val="Hyperlink"/>
          </w:rPr>
          <w:t xml:space="preserve">Прозрачная авторизация из внешних систем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массовая отправка зависит от доступности читательской базы, библиографической базы и почтовой инфраструктуры;</w:t>
      </w:r>
    </w:p>
    <w:p>
      <w:pPr>
        <w:pStyle w:val="Compact"/>
        <w:numPr>
          <w:ilvl w:val="0"/>
          <w:numId w:val="1002"/>
        </w:numPr>
      </w:pPr>
      <w:r>
        <w:t xml:space="preserve">при большом количестве получателей используйте</w:t>
      </w:r>
      <w:r>
        <w:t xml:space="preserve"> </w:t>
      </w:r>
      <w:hyperlink r:id="rId10">
        <w:r>
          <w:rPr>
            <w:rStyle w:val="Hyperlink"/>
          </w:rPr>
          <w:t xml:space="preserve">порционную рассылку E-mail</w:t>
        </w:r>
      </w:hyperlink>
      <w:r>
        <w:t xml:space="preserve">, чтобы разделить отправку на порции с задержкой между ними.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Authorisation/Help/TransparentAuth" TargetMode="External" /><Relationship Type="http://schemas.openxmlformats.org/officeDocument/2006/relationships/hyperlink" Id="rId10" Target="?id=Help/Show&amp;m=i128f/Help/Distr/MailPortio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Authorisation/Help/TransparentAuth" TargetMode="External" /><Relationship Type="http://schemas.openxmlformats.org/officeDocument/2006/relationships/hyperlink" Id="rId10" Target="?id=Help/Show&amp;m=i128f/Help/Distr/MailPortio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Iri</dc:title>
  <dc:creator/>
  <cp:keywords/>
  <dcterms:created xsi:type="dcterms:W3CDTF">2026-08-30T06:17:50Z</dcterms:created>
  <dcterms:modified xsi:type="dcterms:W3CDTF">2026-08-30T06:17:50Z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