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Справочник ГРНТИ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равочник-грнти"/>
    <w:p>
      <w:pPr>
        <w:pStyle w:val="Heading1"/>
      </w:pPr>
      <w:r>
        <w:t xml:space="preserve">Справочник ГРНТИ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GRNTI</w:t>
      </w:r>
      <w:r>
        <w:t xml:space="preserve"> </w:t>
      </w:r>
      <w:r>
        <w:t xml:space="preserve">ведет записи рубрикатора ГРНТИ и предоставляет узлы дерева для выбора тематических рубрик.</w:t>
      </w:r>
    </w:p>
    <w:bookmarkStart w:id="11" w:name="назначение-модуля-grnti"/>
    <w:p>
      <w:pPr>
        <w:pStyle w:val="Heading2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3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ГРНТИ</dc:title>
  <dc:creator/>
  <cp:keywords/>
  <dcterms:created xsi:type="dcterms:W3CDTF">2026-08-30T16:21:12Z</dcterms:created>
  <dcterms:modified xsi:type="dcterms:W3CDTF">2026-08-30T16:21:12Z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