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 данных к TCP/IP серверу ИРБИС 64/64+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0009665f5cb88d41615dcb1471f4c58ba8b7c75"/>
    <w:p>
      <w:pPr>
        <w:pStyle w:val="Heading1"/>
      </w:pPr>
      <w:r>
        <w:t xml:space="preserve">Провайдер данных к TCP/IP серверу ИРБИС 64/64+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DP_Irbis64</w:t>
      </w:r>
      <w:r>
        <w:t xml:space="preserve"> </w:t>
      </w:r>
      <w:r>
        <w:t xml:space="preserve">реализует провайдер данных для работы с TCP/IP сервером</w:t>
      </w:r>
      <w:r>
        <w:t xml:space="preserve"> </w:t>
      </w:r>
      <w:r>
        <w:t xml:space="preserve">ИРБИС 64/64+. Он используется подсистемой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как транспортный слой для</w:t>
      </w:r>
      <w:r>
        <w:t xml:space="preserve"> </w:t>
      </w:r>
      <w:r>
        <w:t xml:space="preserve">поиска, чтения, форматирования, записи, файловых операций и служебных команд</w:t>
      </w:r>
      <w:r>
        <w:t xml:space="preserve"> </w:t>
      </w:r>
      <w:r>
        <w:t xml:space="preserve">ИРБИС64.</w:t>
      </w:r>
    </w:p>
    <w:bookmarkStart w:id="12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DP_Irbis64</w:t>
      </w:r>
      <w:r>
        <w:t xml:space="preserve"> </w:t>
      </w:r>
      <w:r>
        <w:t xml:space="preserve">- объектный модуль-провайдер данных к серверу ИРБИС 64/64+ по</w:t>
      </w:r>
      <w:r>
        <w:t xml:space="preserve"> </w:t>
      </w:r>
      <w:r>
        <w:t xml:space="preserve">TCP/IP-протоколу. Провайдер скрывает сетевой протокол от остальной системы и</w:t>
      </w:r>
      <w:r>
        <w:t xml:space="preserve"> </w:t>
      </w:r>
      <w:r>
        <w:t xml:space="preserve">предоставляет для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единый набор операций: подключение, поиск, чтение,</w:t>
      </w:r>
      <w:r>
        <w:t xml:space="preserve"> </w:t>
      </w:r>
      <w:r>
        <w:t xml:space="preserve">форматирование, запись, глобальная корректировка, работа с файлами и словарем.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Сценарий</w:t>
            </w:r>
          </w:p>
        </w:tc>
        <w:tc>
          <w:tcPr/>
          <w:p>
            <w:pPr>
              <w:pStyle w:val="Compact"/>
            </w:pPr>
            <w:r>
              <w:t xml:space="preserve">Компоненты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Инициализация провайдера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InitProvider</w:t>
            </w:r>
            <w:r>
              <w:t xml:space="preserve">, параметры секции</w:t>
            </w:r>
            <w:r>
              <w:t xml:space="preserve"> </w:t>
            </w:r>
            <w:r>
              <w:rPr>
                <w:rStyle w:val="VerbatimChar"/>
              </w:rPr>
              <w:t xml:space="preserve">PROVIDER</w:t>
            </w:r>
            <w:r>
              <w:t xml:space="preserve"> </w:t>
            </w:r>
            <w:r>
              <w:t xml:space="preserve">из INI базы.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Подключение и диагностика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Connect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Disconnect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Noop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GetVersion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GetARMIni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Низкоуровневый обмен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SendPacket</w:t>
            </w:r>
            <w:r>
              <w:t xml:space="preserve">, управление сессией и чтение ответа сервера.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Поиск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SearchMfn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FullTextSearch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GetFasets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Чтение и форматирование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RecRead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RecReadAndFormat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RecVirtualFormat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Print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Запись и удаление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RecWrite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DeleteRec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RecIfUpdate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HandleGBL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NewDb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Работа с файлами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GetFileList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SetFileMulty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WriteToIni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Словарь и служебные операции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GetTermList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GetMaxMfn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QuickSync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AdmServerRestart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Параллельные сессии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LockThread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UnLockThread</w:t>
            </w:r>
            <w:r>
              <w:t xml:space="preserve">, внутренний счетчик</w:t>
            </w:r>
            <w:r>
              <w:t xml:space="preserve"> </w:t>
            </w:r>
            <w:r>
              <w:rPr>
                <w:rStyle w:val="VerbatimChar"/>
              </w:rPr>
              <w:t xml:space="preserve">threads</w:t>
            </w:r>
            <w:r>
              <w:t xml:space="preserve">.</w:t>
            </w:r>
          </w:p>
        </w:tc>
      </w:tr>
    </w:tbl>
    <w:bookmarkEnd w:id="9"/>
    <w:bookmarkStart w:id="10" w:name="параметры-провайдера"/>
    <w:p>
      <w:pPr>
        <w:pStyle w:val="Heading3"/>
      </w:pPr>
      <w:r>
        <w:t xml:space="preserve">2. Параметры провайдера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PROVIDER.HOST</w:t>
            </w:r>
          </w:p>
        </w:tc>
        <w:tc>
          <w:tcPr/>
          <w:p>
            <w:pPr>
              <w:pStyle w:val="Compact"/>
            </w:pPr>
            <w:r>
              <w:t xml:space="preserve">Адрес TCP/IP сервера ИРБИС64.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PROVIDER.PORT</w:t>
            </w:r>
          </w:p>
        </w:tc>
        <w:tc>
          <w:tcPr/>
          <w:p>
            <w:pPr>
              <w:pStyle w:val="Compact"/>
            </w:pPr>
            <w:r>
              <w:t xml:space="preserve">Порт TCP/IP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PROVIDER.LOGIN</w:t>
            </w:r>
          </w:p>
        </w:tc>
        <w:tc>
          <w:tcPr/>
          <w:p>
            <w:pPr>
              <w:pStyle w:val="Compact"/>
            </w:pPr>
            <w:r>
              <w:t xml:space="preserve">Логин оператора.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PROVIDER.PW</w:t>
            </w:r>
          </w:p>
        </w:tc>
        <w:tc>
          <w:tcPr/>
          <w:p>
            <w:pPr>
              <w:pStyle w:val="Compact"/>
            </w:pPr>
            <w:r>
              <w:t xml:space="preserve">Пароль оператора.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PROVIDER.TIMEOUT</w:t>
            </w:r>
          </w:p>
        </w:tc>
        <w:tc>
          <w:tcPr/>
          <w:p>
            <w:pPr>
              <w:pStyle w:val="Compact"/>
            </w:pPr>
            <w:r>
              <w:t xml:space="preserve">Таймаут сетевого обмена.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PROVIDER.SRCPREFIX</w:t>
            </w:r>
          </w:p>
        </w:tc>
        <w:tc>
          <w:tcPr/>
          <w:p>
            <w:pPr>
              <w:pStyle w:val="Compact"/>
            </w:pPr>
            <w:r>
              <w:t xml:space="preserve">Префикс поискового выражения.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PROVIDER.SRCPOSTFIX</w:t>
            </w:r>
          </w:p>
        </w:tc>
        <w:tc>
          <w:tcPr/>
          <w:p>
            <w:pPr>
              <w:pStyle w:val="Compact"/>
            </w:pPr>
            <w:r>
              <w:t xml:space="preserve">Постфикс поискового выражения.</w:t>
            </w:r>
          </w:p>
        </w:tc>
      </w:tr>
    </w:tbl>
    <w:bookmarkEnd w:id="10"/>
    <w:bookmarkStart w:id="11" w:name="особенности-сопровождения"/>
    <w:p>
      <w:pPr>
        <w:pStyle w:val="Heading3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является сетевым адаптером и зависит от доступности TCP/IP сервера</w:t>
      </w:r>
      <w:r>
        <w:t xml:space="preserve"> </w:t>
      </w:r>
      <w:r>
        <w:t xml:space="preserve">ИРБИС64. Документационные проверки не должны выполнять реальные команды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HandleGBL</w:t>
      </w:r>
      <w:r>
        <w:t xml:space="preserve">,</w:t>
      </w:r>
      <w:r>
        <w:t xml:space="preserve"> </w:t>
      </w:r>
      <w:r>
        <w:rPr>
          <w:rStyle w:val="VerbatimChar"/>
        </w:rPr>
        <w:t xml:space="preserve">SendPacket</w:t>
      </w:r>
      <w:r>
        <w:t xml:space="preserve"> </w:t>
      </w:r>
      <w:r>
        <w:t xml:space="preserve">или файловые операции. Для</w:t>
      </w:r>
      <w:r>
        <w:t xml:space="preserve"> </w:t>
      </w:r>
      <w:r>
        <w:t xml:space="preserve">Help-gate достаточно проверки синтаксиса PHP, HTML/DOCX-выгрузки</w:t>
      </w:r>
      <w:r>
        <w:t xml:space="preserve"> </w:t>
      </w:r>
      <w:r>
        <w:rPr>
          <w:rStyle w:val="VerbatimChar"/>
        </w:rPr>
        <w:t xml:space="preserve">Help/ModuleRoot&amp;module=DP_Irbis64</w:t>
      </w:r>
      <w:r>
        <w:t xml:space="preserve"> </w:t>
      </w:r>
      <w:r>
        <w:t xml:space="preserve">и отсутствия пропусков Autodoc.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 данных к TCP/IP серверу ИРБИС 64/64+</dc:title>
  <dc:creator/>
  <cp:keywords/>
  <dcterms:created xsi:type="dcterms:W3CDTF">2026-08-30T04:17:21Z</dcterms:created>
  <dcterms:modified xsi:type="dcterms:W3CDTF">2026-08-30T04:17:21Z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