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битрикс24"/>
    <w:p>
      <w:pPr>
        <w:pStyle w:val="Heading1"/>
      </w:pPr>
      <w:r>
        <w:t xml:space="preserve">Битрикс24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предоставляет внешний JSON-RPC интерфейс к функциям</w:t>
      </w:r>
      <w:r>
        <w:t xml:space="preserve"> </w:t>
      </w:r>
      <w:r>
        <w:t xml:space="preserve">ИРБИС 128, которые нужны при интеграции с Битрикс24 и другими внешними</w:t>
      </w:r>
      <w:r>
        <w:t xml:space="preserve"> </w:t>
      </w:r>
      <w:r>
        <w:t xml:space="preserve">системами: учетные записи читателей, формуляр, заказы, продление выдачи,</w:t>
      </w:r>
      <w:r>
        <w:t xml:space="preserve"> </w:t>
      </w:r>
      <w:r>
        <w:t xml:space="preserve">сведения об экземплярах, поиск и форматирование записей.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Bitrix24</w:t>
      </w:r>
      <w:r>
        <w:t xml:space="preserve"> </w:t>
      </w:r>
      <w:r>
        <w:t xml:space="preserve">- объектный интеграционный модуль для доступа к функциям</w:t>
      </w:r>
      <w:r>
        <w:t xml:space="preserve"> </w:t>
      </w:r>
      <w:r>
        <w:t xml:space="preserve">ИРБИС 128 из внешней среды через JSON-RPC 2.0. Модуль регистрирует серверный</w:t>
      </w:r>
      <w:r>
        <w:t xml:space="preserve"> </w:t>
      </w:r>
      <w:r>
        <w:t xml:space="preserve">объект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; методы этого объекта являются публичными</w:t>
      </w:r>
      <w:r>
        <w:t xml:space="preserve"> </w:t>
      </w:r>
      <w:r>
        <w:t xml:space="preserve">JSON-RPC методами и делегируют выполнение профильным модулям системы: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Start w:id="9" w:name="основные-направления-интеграции"/>
    <w:p>
      <w:pPr>
        <w:pStyle w:val="Heading3"/>
      </w:pPr>
      <w:r>
        <w:t xml:space="preserve">1. Основные направления интеграции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Методы JSON-RPC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Учетные записи пользователей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UpdateUser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DelUser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Формуляр читателя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Заказы на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GetOrders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Продление выдачи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Экземпляры библиографической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справочники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</w:tr>
    </w:tbl>
    <w:bookmarkEnd w:id="9"/>
    <w:bookmarkStart w:id="10" w:name="когда-использовать-модуль"/>
    <w:p>
      <w:pPr>
        <w:pStyle w:val="Heading3"/>
      </w:pPr>
      <w:r>
        <w:t xml:space="preserve">2. Когда использовать модуль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когда внешней системе нужно работать с читательскими</w:t>
      </w:r>
      <w:r>
        <w:t xml:space="preserve"> </w:t>
      </w:r>
      <w:r>
        <w:t xml:space="preserve">данными и заказами через единый HTTP-интерфейс без прямого подключения к БД</w:t>
      </w:r>
      <w:r>
        <w:t xml:space="preserve"> </w:t>
      </w:r>
      <w:r>
        <w:t xml:space="preserve">ИРБИС. Внешний клиент передает JSON-RPC запросы на endpoint модуля, а сервер</w:t>
      </w:r>
      <w:r>
        <w:t xml:space="preserve"> </w:t>
      </w:r>
      <w:r>
        <w:t xml:space="preserve">ИРБИС 128 выполняет операции в тех БД и модулях, которые настроены в текущей</w:t>
      </w:r>
      <w:r>
        <w:t xml:space="preserve"> </w:t>
      </w:r>
      <w:r>
        <w:t xml:space="preserve">инсталляции.</w:t>
      </w:r>
    </w:p>
    <w:p>
      <w:pPr>
        <w:pStyle w:val="BodyText"/>
      </w:pPr>
      <w:r>
        <w:t xml:space="preserve">Модуль не заменяет пользовательский интерфейс ИРБИС 128. Он предназначен для</w:t>
      </w:r>
      <w:r>
        <w:t xml:space="preserve"> </w:t>
      </w:r>
      <w:r>
        <w:t xml:space="preserve">серверной интеграции: вебхуки, фоновые обмены, витрины личного кабинета,</w:t>
      </w:r>
      <w:r>
        <w:t xml:space="preserve"> </w:t>
      </w:r>
      <w:r>
        <w:t xml:space="preserve">внешние CRM-формы и другие приложения, которым нужен машинный ответ в JSON.</w:t>
      </w:r>
    </w:p>
    <w:bookmarkEnd w:id="10"/>
    <w:bookmarkStart w:id="11" w:name="состав-модуля"/>
    <w:p>
      <w:pPr>
        <w:pStyle w:val="Heading3"/>
      </w:pPr>
      <w:r>
        <w:t xml:space="preserve">3. Состав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__call/GetJsonRPCServer.inc</w:t>
            </w:r>
          </w:p>
        </w:tc>
        <w:tc>
          <w:tcPr/>
          <w:p>
            <w:pPr>
              <w:pStyle w:val="Compact"/>
            </w:pPr>
            <w:r>
              <w:t xml:space="preserve">Создает JSON-RPC сервер и описывает доступные интеграционные функции.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Pages/Test.page</w:t>
            </w:r>
          </w:p>
        </w:tc>
        <w:tc>
          <w:tcPr/>
          <w:p>
            <w:pPr>
              <w:pStyle w:val="Compact"/>
            </w:pPr>
            <w:r>
              <w:t xml:space="preserve">Служебная страница проверки вызовов JSON-RPC и прозрачной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Formats/recdata.pft128</w:t>
            </w:r>
          </w:p>
        </w:tc>
        <w:tc>
          <w:tcPr/>
          <w:p>
            <w:pPr>
              <w:pStyle w:val="Compact"/>
            </w:pPr>
            <w:r>
              <w:t xml:space="preserve">Возвращает JSON с содержимым записи, кратким описанием, полным форматом и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Настраивает объектный модуль</w:t>
            </w:r>
            <w:r>
              <w:t xml:space="preserve"> </w:t>
            </w:r>
            <w:r>
              <w:rPr>
                <w:rStyle w:val="VerbatimChar"/>
              </w:rPr>
              <w:t xml:space="preserve">Bitrix24</w:t>
            </w:r>
            <w:r>
              <w:t xml:space="preserve">, тип записи и список зарегистрированных RPC-методов.</w:t>
            </w:r>
          </w:p>
        </w:tc>
      </w:tr>
    </w:tbl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Доступность методов зависит от настроек модулей, БД читателей, БД заказов,</w:t>
      </w:r>
      <w:r>
        <w:t xml:space="preserve"> </w:t>
      </w:r>
      <w:r>
        <w:t xml:space="preserve">каталогов, прав текущего сайта и доступности внешних сервисов авторизации.</w:t>
      </w:r>
      <w:r>
        <w:t xml:space="preserve"> </w:t>
      </w:r>
      <w:r>
        <w:t xml:space="preserve">Методы возвращают данные в структуре ИРБИС 128: массивы полей записей,</w:t>
      </w:r>
      <w:r>
        <w:t xml:space="preserve"> </w:t>
      </w:r>
      <w:r>
        <w:t xml:space="preserve">идентификаторы БД, шифры записей, даты в форматах, которые использует</w:t>
      </w:r>
      <w:r>
        <w:t xml:space="preserve"> </w:t>
      </w:r>
      <w:r>
        <w:t xml:space="preserve">соответствующий модуль.</w:t>
      </w:r>
    </w:p>
    <w:p>
      <w:pPr>
        <w:pStyle w:val="BodyText"/>
      </w:pPr>
      <w:r>
        <w:t xml:space="preserve">Служебная страница</w:t>
      </w:r>
      <w:r>
        <w:t xml:space="preserve"> </w:t>
      </w:r>
      <w:r>
        <w:rPr>
          <w:rStyle w:val="VerbatimChar"/>
        </w:rPr>
        <w:t xml:space="preserve">?id=Bitrix24/Test</w:t>
      </w:r>
      <w:r>
        <w:t xml:space="preserve"> </w:t>
      </w:r>
      <w:r>
        <w:t xml:space="preserve">содержит фиксированные параметры стенда</w:t>
      </w:r>
      <w:r>
        <w:t xml:space="preserve"> </w:t>
      </w:r>
      <w:r>
        <w:t xml:space="preserve">и предназначена для проверки интеграции разработчиком или администратором, а</w:t>
      </w:r>
      <w:r>
        <w:t xml:space="preserve"> </w:t>
      </w:r>
      <w:r>
        <w:t xml:space="preserve">не для пользовательской работы. При изменении набора RPC-методов нужно</w:t>
      </w:r>
      <w:r>
        <w:t xml:space="preserve"> </w:t>
      </w:r>
      <w:r>
        <w:t xml:space="preserve">синхронно обновлять список</w:t>
      </w:r>
      <w:r>
        <w:t xml:space="preserve"> </w:t>
      </w:r>
      <w:r>
        <w:rPr>
          <w:rStyle w:val="VerbatimChar"/>
        </w:rPr>
        <w:t xml:space="preserve">_registeredRPC</w:t>
      </w:r>
      <w:r>
        <w:t xml:space="preserve">, реализацию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 </w:t>
      </w:r>
      <w:r>
        <w:t xml:space="preserve">и Help-описание.</w:t>
      </w:r>
    </w:p>
    <w:bookmarkEnd w:id="12"/>
    <w:bookmarkEnd w:id="13"/>
    <w:bookmarkStart w:id="17" w:name="endpoint-и-формат-обмена"/>
    <w:p>
      <w:pPr>
        <w:pStyle w:val="Heading2"/>
      </w:pPr>
      <w:r>
        <w:t xml:space="preserve">Endpoint и формат обмена</w:t>
      </w:r>
    </w:p>
    <w:p>
      <w:pPr>
        <w:pStyle w:val="FirstParagraph"/>
      </w:pPr>
      <w:r>
        <w:t xml:space="preserve">JSON-RPC сервер модуля доступен через входную точку:</w:t>
      </w:r>
    </w:p>
    <w:p>
      <w:pPr>
        <w:pStyle w:val="SourceCode"/>
      </w:pPr>
      <w:r>
        <w:rPr>
          <w:rStyle w:val="VerbatimChar"/>
        </w:rPr>
        <w:t xml:space="preserve">POST /JSONRPC.php?i128Module=Bitrix24</w:t>
      </w:r>
    </w:p>
    <w:p>
      <w:pPr>
        <w:pStyle w:val="FirstParagraph"/>
      </w:pPr>
      <w:r>
        <w:t xml:space="preserve">Тело запроса должно быть JSON-RPC 2.0 объектом или массивом объектов для</w:t>
      </w:r>
      <w:r>
        <w:t xml:space="preserve"> </w:t>
      </w:r>
      <w:r>
        <w:t xml:space="preserve">batch-вызова. Для обычного вызова указываются поля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</w:t>
      </w:r>
      <w:r>
        <w:t xml:space="preserve"> </w:t>
      </w:r>
      <w:r>
        <w:rPr>
          <w:rStyle w:val="VerbatimChar"/>
        </w:rPr>
        <w:t xml:space="preserve">method</w:t>
      </w:r>
      <w:r>
        <w:t xml:space="preserve">,</w:t>
      </w:r>
      <w:r>
        <w:t xml:space="preserve"> </w:t>
      </w:r>
      <w:r>
        <w:rPr>
          <w:rStyle w:val="VerbatimChar"/>
        </w:rPr>
        <w:t xml:space="preserve">params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содержит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 </w:t>
      </w:r>
      <w:r>
        <w:t xml:space="preserve">при успешном выполнении или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 </w:t>
      </w:r>
      <w:r>
        <w:t xml:space="preserve">при ошибке.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bookmarkStart w:id="14" w:name="правила-вызова"/>
    <w:p>
      <w:pPr>
        <w:pStyle w:val="Heading3"/>
      </w:pPr>
      <w:r>
        <w:t xml:space="preserve">1. Правила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Правило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 HTTP</w:t>
            </w:r>
          </w:p>
        </w:tc>
        <w:tc>
          <w:tcPr/>
          <w:p>
            <w:pPr>
              <w:pStyle w:val="Compact"/>
            </w:pPr>
            <w:r>
              <w:t xml:space="preserve">Сервер принимает только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 </w:t>
            </w:r>
            <w:r>
              <w:t xml:space="preserve">для обычных JSON-RPC вызовов.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тела</w:t>
            </w:r>
          </w:p>
        </w:tc>
        <w:tc>
          <w:tcPr/>
          <w:p>
            <w:pPr>
              <w:pStyle w:val="Compact"/>
            </w:pPr>
            <w:r>
              <w:t xml:space="preserve">JSON-объект JSON-RPC 2.0 или массив объектов для batch-вызова.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Если поле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 </w:t>
            </w:r>
            <w:r>
              <w:t xml:space="preserve">не передано, вызов считается notification и ответ не возвращается.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можно передавать позиционным массивом или объектом с именованными параметрами.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Именованные параметры</w:t>
            </w:r>
          </w:p>
        </w:tc>
        <w:tc>
          <w:tcPr/>
          <w:p>
            <w:pPr>
              <w:pStyle w:val="Compact"/>
            </w:pPr>
            <w:r>
              <w:t xml:space="preserve">При объекте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значения сопоставляются с именами параметров PHP-метода.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</w:t>
            </w:r>
          </w:p>
        </w:tc>
        <w:tc>
          <w:tcPr/>
          <w:p>
            <w:pPr>
              <w:pStyle w:val="Compact"/>
            </w:pPr>
            <w:r>
              <w:t xml:space="preserve">Если тело запроса - массив, сервер выполнит каждый вызов и вернет массив ответов.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SMD</w:t>
            </w:r>
          </w:p>
        </w:tc>
        <w:tc>
          <w:tcPr/>
          <w:p>
            <w:pPr>
              <w:pStyle w:val="Compact"/>
            </w:pPr>
            <w:r>
              <w:t xml:space="preserve">Запрос с параметром</w:t>
            </w:r>
            <w:r>
              <w:t xml:space="preserve"> </w:t>
            </w:r>
            <w:r>
              <w:rPr>
                <w:rStyle w:val="VerbatimChar"/>
              </w:rPr>
              <w:t xml:space="preserve">smd</w:t>
            </w:r>
            <w:r>
              <w:t xml:space="preserve"> </w:t>
            </w:r>
            <w:r>
              <w:t xml:space="preserve">возвращает service map, построенный по публичным методам сервера.</w:t>
            </w:r>
          </w:p>
        </w:tc>
      </w:tr>
    </w:tbl>
    <w:bookmarkEnd w:id="14"/>
    <w:bookmarkStart w:id="15" w:name="ошибки-json-rpc"/>
    <w:p>
      <w:pPr>
        <w:pStyle w:val="Heading3"/>
      </w:pPr>
      <w:r>
        <w:t xml:space="preserve">2. Ошибки JSON-RPC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-32700</w:t>
            </w:r>
          </w:p>
        </w:tc>
        <w:tc>
          <w:tcPr/>
          <w:p>
            <w:pPr>
              <w:pStyle w:val="Compact"/>
            </w:pPr>
            <w:r>
              <w:t xml:space="preserve">Ошибка разбора JSON.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-32600</w:t>
            </w:r>
          </w:p>
        </w:tc>
        <w:tc>
          <w:tcPr/>
          <w:p>
            <w:pPr>
              <w:pStyle w:val="Compact"/>
            </w:pPr>
            <w:r>
              <w:t xml:space="preserve">Некорректный запрос: например, не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, нет</w:t>
            </w:r>
            <w:r>
              <w:t xml:space="preserve"> </w:t>
            </w:r>
            <w:r>
              <w:rPr>
                <w:rStyle w:val="VerbatimChar"/>
              </w:rPr>
              <w:t xml:space="preserve">jsonrpc: "2.0"</w:t>
            </w:r>
            <w:r>
              <w:t xml:space="preserve"> </w:t>
            </w:r>
            <w:r>
              <w:t xml:space="preserve">или тело пустое.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-32601</w:t>
            </w:r>
          </w:p>
        </w:tc>
        <w:tc>
          <w:tcPr/>
          <w:p>
            <w:pPr>
              <w:pStyle w:val="Compact"/>
            </w:pPr>
            <w:r>
              <w:t xml:space="preserve">Метод не найден или метод скрыт сервером.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-32602</w:t>
            </w:r>
          </w:p>
        </w:tc>
        <w:tc>
          <w:tcPr/>
          <w:p>
            <w:pPr>
              <w:pStyle w:val="Compact"/>
            </w:pPr>
            <w:r>
              <w:t xml:space="preserve">Некорректные параметры: не хватает обязательного параметра или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имеет неподдерживаемый тип.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-32603</w:t>
            </w:r>
          </w:p>
        </w:tc>
        <w:tc>
          <w:tcPr/>
          <w:p>
            <w:pPr>
              <w:pStyle w:val="Compact"/>
            </w:pPr>
            <w:r>
              <w:t xml:space="preserve">Внутренняя ошибка.</w:t>
            </w:r>
          </w:p>
        </w:tc>
      </w:tr>
    </w:tbl>
    <w:p>
      <w:pPr>
        <w:pStyle w:val="BodyText"/>
      </w:pPr>
      <w:r>
        <w:t xml:space="preserve">Ошибки бизнес-операций возвращаются тем модулем, который выполняет операцию: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Например, заказ не будет</w:t>
      </w:r>
      <w:r>
        <w:t xml:space="preserve"> </w:t>
      </w:r>
      <w:r>
        <w:t xml:space="preserve">создан, если не найдена запись пользователя, БД каталога не открылась или</w:t>
      </w:r>
      <w:r>
        <w:t xml:space="preserve"> </w:t>
      </w:r>
      <w:r>
        <w:t xml:space="preserve">шифр записи не найден.</w:t>
      </w:r>
    </w:p>
    <w:bookmarkEnd w:id="15"/>
    <w:bookmarkStart w:id="16" w:name="аутентификация-и-доступ"/>
    <w:p>
      <w:pPr>
        <w:pStyle w:val="Heading3"/>
      </w:pPr>
      <w:r>
        <w:t xml:space="preserve">3. Аутентификация и доступ</w:t>
      </w:r>
    </w:p>
    <w:p>
      <w:pPr>
        <w:pStyle w:val="FirstParagraph"/>
      </w:pPr>
      <w:r>
        <w:t xml:space="preserve">Входная точка проходит через обычный запуск ИРБИС 128. Конкретные правила</w:t>
      </w:r>
      <w:r>
        <w:t xml:space="preserve"> </w:t>
      </w:r>
      <w:r>
        <w:t xml:space="preserve">доступа зависят от настроек сайта, авторизации, сессии, веб-сервера и</w:t>
      </w:r>
      <w:r>
        <w:t xml:space="preserve"> </w:t>
      </w:r>
      <w:r>
        <w:t xml:space="preserve">интеграционного контура. Внешнему клиенту нужно использовать тот URL и способ</w:t>
      </w:r>
      <w:r>
        <w:t xml:space="preserve"> </w:t>
      </w:r>
      <w:r>
        <w:t xml:space="preserve">доступа, который выдан администратором системы.</w:t>
      </w:r>
    </w:p>
    <w:bookmarkEnd w:id="16"/>
    <w:bookmarkEnd w:id="17"/>
    <w:bookmarkStart w:id="21" w:name="методы-json-rpc"/>
    <w:p>
      <w:pPr>
        <w:pStyle w:val="Heading2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18" w:name="читатели"/>
    <w:p>
      <w:pPr>
        <w:pStyle w:val="Heading3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18"/>
    <w:bookmarkStart w:id="19" w:name="заказы-и-продление"/>
    <w:p>
      <w:pPr>
        <w:pStyle w:val="Heading3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9"/>
    <w:bookmarkStart w:id="20" w:name="каталог-экземпляры-и-форматирование"/>
    <w:p>
      <w:pPr>
        <w:pStyle w:val="Heading3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20"/>
    <w:bookmarkEnd w:id="21"/>
    <w:bookmarkStart w:id="29" w:name="примеры-вызовов"/>
    <w:p>
      <w:pPr>
        <w:pStyle w:val="Heading2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22" w:name="получить-читателя"/>
    <w:p>
      <w:pPr>
        <w:pStyle w:val="Heading3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22"/>
    <w:bookmarkStart w:id="23" w:name="создать-заказ"/>
    <w:p>
      <w:pPr>
        <w:pStyle w:val="Heading3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23"/>
    <w:bookmarkStart w:id="24" w:name="X292964a0e412c98d5c916116ffbd9e03389815f"/>
    <w:p>
      <w:pPr>
        <w:pStyle w:val="Heading3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24"/>
    <w:bookmarkStart w:id="25" w:name="получить-формуляр"/>
    <w:p>
      <w:pPr>
        <w:pStyle w:val="Heading3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25"/>
    <w:bookmarkStart w:id="26" w:name="продлить-выдачу"/>
    <w:p>
      <w:pPr>
        <w:pStyle w:val="Heading3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26"/>
    <w:bookmarkStart w:id="27" w:name="отформатировать-виртуальную-запись"/>
    <w:p>
      <w:pPr>
        <w:pStyle w:val="Heading3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27"/>
    <w:bookmarkStart w:id="28" w:name="batch-вызов"/>
    <w:p>
      <w:pPr>
        <w:pStyle w:val="Heading3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Битрикс24</dc:title>
  <dc:creator/>
  <cp:keywords/>
  <dcterms:created xsi:type="dcterms:W3CDTF">2026-08-31T03:41:54Z</dcterms:created>
  <dcterms:modified xsi:type="dcterms:W3CDTF">2026-08-31T03:41:54Z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