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[I128-2832] Политики bidirectional sync и conflict resolution в модуле API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0f49e92296c5648938a3eabcb88f40ee2cf562d"/>
    <w:p>
      <w:pPr>
        <w:pStyle w:val="Heading1"/>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01"/>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002"/>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003"/>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004"/>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005"/>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27"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0"/>
    <w:p>
      <w:pPr>
        <w:pStyle w:val="Heading3"/>
      </w:pPr>
      <w:r>
        <w:t xml:space="preserve">1.8. 🔗 blocks: I128-2830</w:t>
      </w:r>
    </w:p>
    <w:p>
      <w:pPr>
        <w:pStyle w:val="BlockText"/>
      </w:pPr>
      <w:hyperlink r:id="rId23">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1"/>
    <w:p>
      <w:pPr>
        <w:pStyle w:val="Heading3"/>
      </w:pPr>
      <w:r>
        <w:t xml:space="preserve">1.9. 🔗 blocks: I128-2831</w:t>
      </w:r>
    </w:p>
    <w:p>
      <w:pPr>
        <w:pStyle w:val="BlockText"/>
      </w:pPr>
      <w:hyperlink r:id="rId25">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[I128-2832] Политики bidirectional sync и conflict resolution в модуле API</dc:title>
  <dc:creator/>
  <cp:keywords/>
  <dcterms:created xsi:type="dcterms:W3CDTF">2026-10-15T18:56:01Z</dcterms:created>
  <dcterms:modified xsi:type="dcterms:W3CDTF">2026-10-15T18:56:01Z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