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[I128-2798] Реализовать HealthCheck для workflow-проектов и задач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78" w:name="X56359ced94b564738eeb88f2aba72844e377f4f"/>
    <w:p>
      <w:pPr>
        <w:pStyle w:val="Heading1"/>
      </w:pPr>
      <w:r>
        <w:t xml:space="preserve">[I128-2798] Реализовать HealthCheck для workflow-проектов и задач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Нет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08.09.2026 12:47</w:t>
      </w:r>
    </w:p>
    <w:p>
      <w:pPr>
        <w:numPr>
          <w:ilvl w:val="0"/>
          <w:numId w:val="1001"/>
        </w:numPr>
      </w:pPr>
      <w:r>
        <w:t xml:space="preserve">Цель</w:t>
      </w:r>
      <w:r>
        <w:t xml:space="preserve"> </w:t>
      </w:r>
      <w:r>
        <w:t xml:space="preserve">Реализовать системный модуль HealthCheck для проверки конфигурации, runtime-готовности и publication gate системных и предметных модулей ИРБИС 128.</w:t>
      </w:r>
    </w:p>
    <w:p>
      <w:pPr>
        <w:numPr>
          <w:ilvl w:val="0"/>
          <w:numId w:val="1001"/>
        </w:numPr>
      </w:pPr>
      <w:r>
        <w:t xml:space="preserve">Контекст</w:t>
      </w:r>
      <w:r>
        <w:t xml:space="preserve"> </w:t>
      </w:r>
      <w:r>
        <w:t xml:space="preserve">HealthCheck должен стать единым местом запуска и просмотра проверок готовности. Содержательные проверки поставляют модули-владельцы: Workflow*, Tasks, EventBus, Queue, FT, Security, FieldConfiguration и другие. HealthCheck управляет registry, запуском, агрегацией, хранением результатов, уровнем критичности, publication gate и безопасной диагностикой.</w:t>
      </w:r>
    </w:p>
    <w:p>
      <w:pPr>
        <w:numPr>
          <w:ilvl w:val="0"/>
          <w:numId w:val="1001"/>
        </w:numPr>
      </w:pPr>
      <w:r>
        <w:t xml:space="preserve">Что Нужно Сделать</w:t>
      </w:r>
    </w:p>
    <w:p>
      <w:pPr>
        <w:numPr>
          <w:ilvl w:val="0"/>
          <w:numId w:val="1002"/>
        </w:numPr>
      </w:pPr>
      <w:r>
        <w:t xml:space="preserve">Ввести provider registry: модуль регистрирует проверки через system JSON definitions и __call/HealthCheck-функции, не требуя жесткой зависимости в ядре HealthCheck.</w:t>
      </w:r>
    </w:p>
    <w:p>
      <w:pPr>
        <w:numPr>
          <w:ilvl w:val="0"/>
          <w:numId w:val="1002"/>
        </w:numPr>
      </w:pPr>
      <w:r>
        <w:t xml:space="preserve">Ввести модель HealthCheckRun: инициатор, режим запуска, scope, target object, started/finished, trace id, status, summary и ссылка на результаты.</w:t>
      </w:r>
    </w:p>
    <w:p>
      <w:pPr>
        <w:numPr>
          <w:ilvl w:val="0"/>
          <w:numId w:val="1002"/>
        </w:numPr>
      </w:pPr>
      <w:r>
        <w:t xml:space="preserve">Ввести модель HealthCheckResult: provider, check key, severity, entity reference, message, details, remediation, safe payload, timestamps и статус актуальности.</w:t>
      </w:r>
    </w:p>
    <w:p>
      <w:pPr>
        <w:numPr>
          <w:ilvl w:val="0"/>
          <w:numId w:val="1002"/>
        </w:numPr>
      </w:pPr>
      <w:r>
        <w:t xml:space="preserve">Поддержать уровни blocker, warning и info. Blocker должен уметь останавливать публикацию конфигурации или rollout, если проверка относится к обязательному gate.</w:t>
      </w:r>
    </w:p>
    <w:p>
      <w:pPr>
        <w:numPr>
          <w:ilvl w:val="0"/>
          <w:numId w:val="1002"/>
        </w:numPr>
      </w:pPr>
      <w:r>
        <w:t xml:space="preserve">Реализовать publication gate для workflow</w:t>
      </w:r>
      <w:r>
        <w:rPr>
          <w:strike/>
        </w:rPr>
        <w:t xml:space="preserve">проектов, системных JSON definitions, публичных форм, views, rights schemes и runtime</w:t>
      </w:r>
      <w:r>
        <w:t xml:space="preserve">интеграций.</w:t>
      </w:r>
    </w:p>
    <w:p>
      <w:pPr>
        <w:numPr>
          <w:ilvl w:val="0"/>
          <w:numId w:val="1002"/>
        </w:numPr>
      </w:pPr>
      <w:r>
        <w:t xml:space="preserve">Реализовать запуск вручную, из setup/update/import, из публикации конфигурации, из TestA, из CI и через Queue для тяжелых проверок.</w:t>
      </w:r>
    </w:p>
    <w:p>
      <w:pPr>
        <w:numPr>
          <w:ilvl w:val="0"/>
          <w:numId w:val="1002"/>
        </w:numPr>
      </w:pPr>
      <w:r>
        <w:t xml:space="preserve">Реализовать result retention: хранение последних результатов, история запусков, очистка старых результатов, сравнение current/previous.</w:t>
      </w:r>
    </w:p>
    <w:p>
      <w:pPr>
        <w:numPr>
          <w:ilvl w:val="0"/>
          <w:numId w:val="1002"/>
        </w:numPr>
      </w:pPr>
      <w:r>
        <w:t xml:space="preserve">Реализовать безопасный diagnostic export в JSON, пригодный для CI, TestA evidence и передачи разработчику.</w:t>
      </w:r>
    </w:p>
    <w:p>
      <w:pPr>
        <w:numPr>
          <w:ilvl w:val="0"/>
          <w:numId w:val="1002"/>
        </w:numPr>
      </w:pPr>
      <w:r>
        <w:t xml:space="preserve">Реализовать Security-контроль просмотра результатов: обычный пользователь не должен видеть секреты, скрытые поля и внутренние пути.</w:t>
      </w:r>
    </w:p>
    <w:p>
      <w:pPr>
        <w:numPr>
          <w:ilvl w:val="0"/>
          <w:numId w:val="1002"/>
        </w:numPr>
      </w:pPr>
      <w:r>
        <w:t xml:space="preserve">Поддержать auto</w:t>
      </w:r>
      <w:r>
        <w:rPr>
          <w:strike/>
        </w:rPr>
        <w:t xml:space="preserve">fix только как отдельную безопасную provider</w:t>
      </w:r>
      <w:r>
        <w:t xml:space="preserve">операцию с dry-run, правами и audit. Обычный check не должен менять данные.</w:t>
      </w:r>
    </w:p>
    <w:p>
      <w:pPr>
        <w:pStyle w:val="Compact"/>
        <w:numPr>
          <w:ilvl w:val="1"/>
          <w:numId w:val="1003"/>
        </w:numPr>
      </w:pPr>
      <w:r>
        <w:t xml:space="preserve">Границы Ответственности</w:t>
      </w:r>
    </w:p>
    <w:p>
      <w:pPr>
        <w:numPr>
          <w:ilvl w:val="0"/>
          <w:numId w:val="1002"/>
        </w:numPr>
      </w:pPr>
      <w:r>
        <w:t xml:space="preserve">HealthCheck не должен знать доменную структуру Tasks, Workflow*, EventBus, Queue, FT или Security.</w:t>
      </w:r>
    </w:p>
    <w:p>
      <w:pPr>
        <w:numPr>
          <w:ilvl w:val="0"/>
          <w:numId w:val="1002"/>
        </w:numPr>
      </w:pPr>
      <w:r>
        <w:t xml:space="preserve">HealthCheck не должен сам исправлять данные в ходе проверки.</w:t>
      </w:r>
    </w:p>
    <w:p>
      <w:pPr>
        <w:numPr>
          <w:ilvl w:val="0"/>
          <w:numId w:val="1002"/>
        </w:numPr>
      </w:pPr>
      <w:r>
        <w:t xml:space="preserve">Модуль-владелец отвечает за смысл конкретной проверки и remediation, HealthCheck отвечает за запуск, aggregation, gate и вывод.</w:t>
      </w:r>
    </w:p>
    <w:p>
      <w:pPr>
        <w:pStyle w:val="Compact"/>
        <w:numPr>
          <w:ilvl w:val="1"/>
          <w:numId w:val="1004"/>
        </w:numPr>
      </w:pPr>
      <w:r>
        <w:t xml:space="preserve">Критерии Приемки</w:t>
      </w:r>
    </w:p>
    <w:p>
      <w:pPr>
        <w:numPr>
          <w:ilvl w:val="0"/>
          <w:numId w:val="1002"/>
        </w:numPr>
      </w:pPr>
      <w:r>
        <w:t xml:space="preserve">Модуль может зарегистрировать новую проверку без изменения ядра HealthCheck.</w:t>
      </w:r>
    </w:p>
    <w:p>
      <w:pPr>
        <w:numPr>
          <w:ilvl w:val="0"/>
          <w:numId w:val="1002"/>
        </w:numPr>
      </w:pPr>
      <w:r>
        <w:t xml:space="preserve">Администратор видит единый отчет с группировкой по severity, владельцу, сущности и remediation.</w:t>
      </w:r>
    </w:p>
    <w:p>
      <w:pPr>
        <w:numPr>
          <w:ilvl w:val="0"/>
          <w:numId w:val="1002"/>
        </w:numPr>
      </w:pPr>
      <w:r>
        <w:t xml:space="preserve">Publication gate блокирует публикацию при обязательных blocker-ах и не может быть ослаблен обычной настройкой.</w:t>
      </w:r>
    </w:p>
    <w:p>
      <w:pPr>
        <w:numPr>
          <w:ilvl w:val="0"/>
          <w:numId w:val="1002"/>
        </w:numPr>
      </w:pPr>
      <w:r>
        <w:t xml:space="preserve">Результаты доступны для TestA/CI в стабильном JSON-формате.</w:t>
      </w:r>
    </w:p>
    <w:p>
      <w:pPr>
        <w:numPr>
          <w:ilvl w:val="0"/>
          <w:numId w:val="1002"/>
        </w:numPr>
      </w:pPr>
      <w:r>
        <w:t xml:space="preserve">Тяжелая проверка может запускаться через Queue и сохраняет trace id.</w:t>
      </w:r>
    </w:p>
    <w:p>
      <w:pPr>
        <w:numPr>
          <w:ilvl w:val="0"/>
          <w:numId w:val="1002"/>
        </w:numPr>
      </w:pPr>
      <w:r>
        <w:t xml:space="preserve">Диагностика не раскрывает секреты, скрытые поля и персональные данные сверх прав пользователя.</w:t>
      </w:r>
    </w:p>
    <w:p>
      <w:pPr>
        <w:pStyle w:val="Compact"/>
        <w:numPr>
          <w:ilvl w:val="1"/>
          <w:numId w:val="1005"/>
        </w:numPr>
      </w:pPr>
      <w:r>
        <w:t xml:space="preserve">Проверки И Документация</w:t>
      </w:r>
      <w:r>
        <w:t xml:space="preserve"> </w:t>
      </w:r>
      <w:r>
        <w:t xml:space="preserve">Нужно подготовить TestA</w:t>
      </w:r>
      <w:r>
        <w:rPr>
          <w:strike/>
        </w:rPr>
        <w:t xml:space="preserve">сценарии для provider registry, успешной проверки, blocker gate, warning/info, result retention, JSON export, прав просмотра, Queue execution и интеграции с системными definitions. В Help должны быть описаны запуск проверок, чтение отчета, разработка provider</w:t>
      </w:r>
      <w:r>
        <w:t xml:space="preserve">ов и типовые remediation.</w:t>
      </w:r>
    </w:p>
    <w:p>
      <w:pPr>
        <w:pStyle w:val="FirstParagraph"/>
      </w:pPr>
      <w:r>
        <w:rPr>
          <w:strike/>
        </w:rPr>
        <w:t xml:space="preserve">-</w:t>
      </w:r>
    </w:p>
    <w:p>
      <w:pPr>
        <w:pStyle w:val="BodyText"/>
      </w:pPr>
      <w:r>
        <w:t xml:space="preserve">Реализован первый независимый срез системного модуля HealthCheck для I128-2798.</w:t>
      </w:r>
    </w:p>
    <w:p>
      <w:pPr>
        <w:pStyle w:val="BodyText"/>
      </w:pPr>
      <w:r>
        <w:t xml:space="preserve">Что сделано:</w:t>
      </w:r>
      <w:r>
        <w:t xml:space="preserve"> </w:t>
      </w:r>
      <w:r>
        <w:t xml:space="preserve">- добавлен модуль modules/HealthCheck с DTO HealthCheckContext, HealthCheckResult, HealthCheckProviderRun и HealthCheckRun;</w:t>
      </w:r>
      <w:r>
        <w:t xml:space="preserve"> </w:t>
      </w:r>
      <w:r>
        <w:t xml:space="preserve">- добавлен runtime registry provider-ов HealthCheck;</w:t>
      </w:r>
      <w:r>
        <w:t xml:space="preserve"> </w:t>
      </w:r>
      <w:r>
        <w:t xml:space="preserve">- добавлена загрузка декларативных provider definitions из JSON modules/</w:t>
      </w:r>
      <w:r>
        <w:t xml:space="preserve">/healthcheck/*.json;</w:t>
      </w:r>
      <w:r>
        <w:t xml:space="preserve"> </w:t>
      </w:r>
      <w:r>
        <w:t xml:space="preserve">- self</w:t>
      </w:r>
      <w:r>
        <w:t xml:space="preserve">provider HealthCheck поставляется через JSON и выполняется стандартной __call</w:t>
      </w:r>
      <w:r>
        <w:t xml:space="preserve">функцией HealthCheck/Self;</w:t>
      </w:r>
      <w:r>
        <w:t xml:space="preserve"> </w:t>
      </w:r>
      <w:r>
        <w:t xml:space="preserve">- добавлен синхронный запуск проверок, агрегация blocker/warning/info и provider failure;</w:t>
      </w:r>
      <w:r>
        <w:t xml:space="preserve"> </w:t>
      </w:r>
      <w:r>
        <w:t xml:space="preserve">- добавлена оценка publication gate: blocker запрещает публикацию, warning требует подтверждения, info не блокирует;</w:t>
      </w:r>
      <w:r>
        <w:t xml:space="preserve"> </w:t>
      </w:r>
      <w:r>
        <w:t xml:space="preserve">- добавлено техническое хранение JSON-отчетов в DataPath/HealthCheck/Reports с retention cleanup;</w:t>
      </w:r>
      <w:r>
        <w:t xml:space="preserve"> </w:t>
      </w:r>
      <w:r>
        <w:t xml:space="preserve">- добавлены __call</w:t>
      </w:r>
      <w:r>
        <w:rPr>
          <w:strike/>
        </w:rPr>
        <w:t xml:space="preserve">методы, TestA</w:t>
      </w:r>
      <w:r>
        <w:t xml:space="preserve">проверка и Help-документация.</w:t>
      </w:r>
    </w:p>
    <w:p>
      <w:pPr>
        <w:pStyle w:val="BodyText"/>
      </w:pPr>
      <w:r>
        <w:t xml:space="preserve">Границы ответственности:</w:t>
      </w:r>
      <w:r>
        <w:t xml:space="preserve"> </w:t>
      </w:r>
      <w:r>
        <w:t xml:space="preserve">- HealthCheck не содержит доменную логику Tasks, Workflow, EventBus, Queue, FT или Security;</w:t>
      </w:r>
      <w:r>
        <w:t xml:space="preserve"> </w:t>
      </w:r>
      <w:r>
        <w:t xml:space="preserve">- модули</w:t>
      </w:r>
      <w:r>
        <w:rPr>
          <w:strike/>
        </w:rPr>
        <w:t xml:space="preserve">владельцы будут поставлять собственные HealthCheck provider</w:t>
      </w:r>
      <w:r>
        <w:t xml:space="preserve">ы и отвечать за смысл своих проверок;</w:t>
      </w:r>
      <w:r>
        <w:t xml:space="preserve"> </w:t>
      </w:r>
      <w:r>
        <w:t xml:space="preserve">- Queue, Security, TraceContext, TestA и Help остаются внешними контрактами, а не частью доменной логики HealthCheck.</w:t>
      </w:r>
    </w:p>
    <w:p>
      <w:pPr>
        <w:pStyle w:val="BodyText"/>
      </w:pPr>
      <w:r>
        <w:t xml:space="preserve">Проверено:</w:t>
      </w:r>
      <w:r>
        <w:t xml:space="preserve"> </w:t>
      </w:r>
      <w:r>
        <w:t xml:space="preserve">- php</w:t>
      </w:r>
      <w:r>
        <w:t xml:space="preserve"> </w:t>
      </w:r>
      <w:r>
        <w:rPr>
          <w:strike/>
        </w:rPr>
        <w:t xml:space="preserve">l для всех PHP/INC</w:t>
      </w:r>
      <w:r>
        <w:t xml:space="preserve">файлов modules/HealthCheck;</w:t>
      </w:r>
      <w:r>
        <w:t xml:space="preserve"> </w:t>
      </w:r>
      <w:r>
        <w:t xml:space="preserve">- JSON self</w:t>
      </w:r>
      <w:r>
        <w:rPr>
          <w:strike/>
        </w:rPr>
        <w:t xml:space="preserve">provider</w:t>
      </w:r>
      <w:r>
        <w:t xml:space="preserve">а проверен через ConvertFrom-Json;</w:t>
      </w:r>
      <w:r>
        <w:t xml:space="preserve"> </w:t>
      </w:r>
      <w:r>
        <w:t xml:space="preserve">- git diff –check;</w:t>
      </w:r>
      <w:r>
        <w:t xml:space="preserve"> </w:t>
      </w:r>
      <w:r>
        <w:t xml:space="preserve">- TestA: http://irbis128.local/?id=WIrbis&amp;action=TestA/RunSuite&amp;module=HealthCheck&amp;testedOnly=0&amp;structural=1&amp;levels=safe</w:t>
      </w:r>
      <w:r>
        <w:rPr>
          <w:strike/>
        </w:rPr>
        <w:t xml:space="preserve">read&amp;runid=I128</w:t>
      </w:r>
      <w:r>
        <w:t xml:space="preserve">2798</w:t>
      </w:r>
      <w:r>
        <w:rPr>
          <w:strike/>
        </w:rPr>
        <w:t xml:space="preserve">healthcheck</w:t>
      </w:r>
      <w:r>
        <w:t xml:space="preserve">contract</w:t>
      </w:r>
      <w:r>
        <w:rPr>
          <w:strike/>
        </w:rPr>
        <w:t xml:space="preserve">json</w:t>
      </w:r>
      <w:r>
        <w:t xml:space="preserve">1;</w:t>
      </w:r>
      <w:r>
        <w:t xml:space="preserve"> </w:t>
      </w:r>
      <w:r>
        <w:t xml:space="preserve">- результат TestA: total=16, passed=16, failed=0, skipped=0, blocked=0, warning=0.</w:t>
      </w:r>
    </w:p>
    <w:bookmarkStart w:id="77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2799"/>
    <w:p>
      <w:pPr>
        <w:pStyle w:val="Heading3"/>
      </w:pPr>
      <w:r>
        <w:t xml:space="preserve">1.1. 🔗 blocks: I128-2799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[I128-2799]</w:t>
        </w:r>
      </w:hyperlink>
      <w:r>
        <w:t xml:space="preserve"> </w:t>
      </w:r>
      <w:r>
        <w:t xml:space="preserve">Подготовить TestA-контракты системных JSON и end-to-end сценариев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Start w:id="12" w:name="blocks-i128-2801"/>
    <w:p>
      <w:pPr>
        <w:pStyle w:val="Heading3"/>
      </w:pPr>
      <w:r>
        <w:t xml:space="preserve">1.2. 🔗 blocks: I128-2801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[I128-2801]</w:t>
        </w:r>
      </w:hyperlink>
      <w:r>
        <w:t xml:space="preserve"> </w:t>
      </w:r>
      <w:r>
        <w:t xml:space="preserve">Системный проект задач Tasks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2"/>
    <w:bookmarkStart w:id="14" w:name="blocks-i128-2806"/>
    <w:p>
      <w:pPr>
        <w:pStyle w:val="Heading3"/>
      </w:pPr>
      <w:r>
        <w:t xml:space="preserve">1.3. 🔗 blocks: I128-2806</w:t>
      </w:r>
    </w:p>
    <w:p>
      <w:pPr>
        <w:pStyle w:val="BlockText"/>
      </w:pPr>
      <w:hyperlink r:id="rId13">
        <w:r>
          <w:rPr>
            <w:rStyle w:val="Hyperlink"/>
            <w:b/>
            <w:bCs/>
          </w:rPr>
          <w:t xml:space="preserve">[I128-2806]</w:t>
        </w:r>
      </w:hyperlink>
      <w:r>
        <w:t xml:space="preserve"> </w:t>
      </w:r>
      <w:r>
        <w:t xml:space="preserve">Системные треды и публичные коммуникации Collaboration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4"/>
    <w:bookmarkStart w:id="16" w:name="blocks-i128-2807"/>
    <w:p>
      <w:pPr>
        <w:pStyle w:val="Heading3"/>
      </w:pPr>
      <w:r>
        <w:t xml:space="preserve">1.4. 🔗 blocks: I128-2807</w:t>
      </w:r>
    </w:p>
    <w:p>
      <w:pPr>
        <w:pStyle w:val="BlockText"/>
      </w:pPr>
      <w:hyperlink r:id="rId15">
        <w:r>
          <w:rPr>
            <w:rStyle w:val="Hyperlink"/>
            <w:b/>
            <w:bCs/>
          </w:rPr>
          <w:t xml:space="preserve">[I128-2807]</w:t>
        </w:r>
      </w:hyperlink>
      <w:r>
        <w:t xml:space="preserve"> </w:t>
      </w:r>
      <w:r>
        <w:t xml:space="preserve">История значимых полей FieldHistory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6"/>
    <w:bookmarkStart w:id="18" w:name="blocks-i128-2808"/>
    <w:p>
      <w:pPr>
        <w:pStyle w:val="Heading3"/>
      </w:pPr>
      <w:r>
        <w:t xml:space="preserve">1.5. 🔗 blocks: I128-2808</w:t>
      </w:r>
    </w:p>
    <w:p>
      <w:pPr>
        <w:pStyle w:val="BlockText"/>
      </w:pPr>
      <w:hyperlink r:id="rId17">
        <w:r>
          <w:rPr>
            <w:rStyle w:val="Hyperlink"/>
            <w:b/>
            <w:bCs/>
          </w:rPr>
          <w:t xml:space="preserve">[I128-2808]</w:t>
        </w:r>
      </w:hyperlink>
      <w:r>
        <w:t xml:space="preserve"> </w:t>
      </w:r>
      <w:r>
        <w:t xml:space="preserve">Защита публичных каналов AbuseProtection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8"/>
    <w:bookmarkStart w:id="20" w:name="blocks-i128-2809"/>
    <w:p>
      <w:pPr>
        <w:pStyle w:val="Heading3"/>
      </w:pPr>
      <w:r>
        <w:t xml:space="preserve">1.6. 🔗 blocks: I128-2809</w:t>
      </w:r>
    </w:p>
    <w:p>
      <w:pPr>
        <w:pStyle w:val="BlockText"/>
      </w:pPr>
      <w:hyperlink r:id="rId19">
        <w:r>
          <w:rPr>
            <w:rStyle w:val="Hyperlink"/>
            <w:b/>
            <w:bCs/>
          </w:rPr>
          <w:t xml:space="preserve">[I128-2809]</w:t>
        </w:r>
      </w:hyperlink>
      <w:r>
        <w:t xml:space="preserve"> </w:t>
      </w:r>
      <w:r>
        <w:t xml:space="preserve">Сохраненные и материализованные фильтры WorkflowFilter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0"/>
    <w:bookmarkStart w:id="22" w:name="blocks-i128-2810"/>
    <w:p>
      <w:pPr>
        <w:pStyle w:val="Heading3"/>
      </w:pPr>
      <w:r>
        <w:t xml:space="preserve">1.7. 🔗 blocks: I128-2810</w:t>
      </w:r>
    </w:p>
    <w:p>
      <w:pPr>
        <w:pStyle w:val="BlockText"/>
      </w:pPr>
      <w:hyperlink r:id="rId21">
        <w:r>
          <w:rPr>
            <w:rStyle w:val="Hyperlink"/>
            <w:b/>
            <w:bCs/>
          </w:rPr>
          <w:t xml:space="preserve">[I128-2810]</w:t>
        </w:r>
      </w:hyperlink>
      <w:r>
        <w:t xml:space="preserve"> </w:t>
      </w:r>
      <w:r>
        <w:t xml:space="preserve">Миграция VirtualRef в промышленный контур Tasks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2"/>
    <w:bookmarkStart w:id="24" w:name="blocks-i128-2811"/>
    <w:p>
      <w:pPr>
        <w:pStyle w:val="Heading3"/>
      </w:pPr>
      <w:r>
        <w:t xml:space="preserve">1.8. 🔗 blocks: I128-2811</w:t>
      </w:r>
    </w:p>
    <w:p>
      <w:pPr>
        <w:pStyle w:val="BlockText"/>
      </w:pPr>
      <w:hyperlink r:id="rId23">
        <w:r>
          <w:rPr>
            <w:rStyle w:val="Hyperlink"/>
            <w:b/>
            <w:bCs/>
          </w:rPr>
          <w:t xml:space="preserve">[I128-2811]</w:t>
        </w:r>
      </w:hyperlink>
      <w:r>
        <w:t xml:space="preserve"> </w:t>
      </w:r>
      <w:r>
        <w:t xml:space="preserve">Заявительский портал TaskPortal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4"/>
    <w:bookmarkStart w:id="26" w:name="blocks-i128-2814"/>
    <w:p>
      <w:pPr>
        <w:pStyle w:val="Heading3"/>
      </w:pPr>
      <w:r>
        <w:t xml:space="preserve">1.9. 🔗 blocks: I128-2814</w:t>
      </w:r>
    </w:p>
    <w:p>
      <w:pPr>
        <w:pStyle w:val="BlockText"/>
      </w:pPr>
      <w:hyperlink r:id="rId25">
        <w:r>
          <w:rPr>
            <w:rStyle w:val="Hyperlink"/>
            <w:b/>
            <w:bCs/>
          </w:rPr>
          <w:t xml:space="preserve">[I128-2814]</w:t>
        </w:r>
      </w:hyperlink>
      <w:r>
        <w:t xml:space="preserve"> </w:t>
      </w:r>
      <w:r>
        <w:t xml:space="preserve">Расширить ProfileManager для пользовательских настроек TaskPortal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6"/>
    <w:bookmarkStart w:id="28" w:name="blocks-i128-2816"/>
    <w:p>
      <w:pPr>
        <w:pStyle w:val="Heading3"/>
      </w:pPr>
      <w:r>
        <w:t xml:space="preserve">1.10. 🔗 blocks: I128-2816</w:t>
      </w:r>
    </w:p>
    <w:p>
      <w:pPr>
        <w:pStyle w:val="BlockText"/>
      </w:pPr>
      <w:hyperlink r:id="rId27">
        <w:r>
          <w:rPr>
            <w:rStyle w:val="Hyperlink"/>
            <w:b/>
            <w:bCs/>
          </w:rPr>
          <w:t xml:space="preserve">[I128-2816]</w:t>
        </w:r>
      </w:hyperlink>
      <w:r>
        <w:t xml:space="preserve"> </w:t>
      </w:r>
      <w:r>
        <w:t xml:space="preserve">Расширить Menu для публикации TaskPortal в навигации и Cabinet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8"/>
    <w:bookmarkStart w:id="30" w:name="blocks-i128-2817"/>
    <w:p>
      <w:pPr>
        <w:pStyle w:val="Heading3"/>
      </w:pPr>
      <w:r>
        <w:t xml:space="preserve">1.11. 🔗 blocks: I128-2817</w:t>
      </w:r>
    </w:p>
    <w:p>
      <w:pPr>
        <w:pStyle w:val="BlockText"/>
      </w:pPr>
      <w:hyperlink r:id="rId29">
        <w:r>
          <w:rPr>
            <w:rStyle w:val="Hyperlink"/>
            <w:b/>
            <w:bCs/>
          </w:rPr>
          <w:t xml:space="preserve">[I128-2817]</w:t>
        </w:r>
      </w:hyperlink>
      <w:r>
        <w:t xml:space="preserve"> </w:t>
      </w:r>
      <w:r>
        <w:t xml:space="preserve">Реализовать общесистемные рабочие календари WorkCalendar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30"/>
    <w:bookmarkStart w:id="32" w:name="blocks-i128-2818"/>
    <w:p>
      <w:pPr>
        <w:pStyle w:val="Heading3"/>
      </w:pPr>
      <w:r>
        <w:t xml:space="preserve">1.12. 🔗 blocks: I128-2818</w:t>
      </w:r>
    </w:p>
    <w:p>
      <w:pPr>
        <w:pStyle w:val="BlockText"/>
      </w:pPr>
      <w:hyperlink r:id="rId31">
        <w:r>
          <w:rPr>
            <w:rStyle w:val="Hyperlink"/>
            <w:b/>
            <w:bCs/>
          </w:rPr>
          <w:t xml:space="preserve">[I128-2818]</w:t>
        </w:r>
      </w:hyperlink>
      <w:r>
        <w:t xml:space="preserve"> </w:t>
      </w:r>
      <w:r>
        <w:t xml:space="preserve">Реализовать наблюдаемость Observability для промышленных модулей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32"/>
    <w:bookmarkStart w:id="34" w:name="blocks-i128-2820"/>
    <w:p>
      <w:pPr>
        <w:pStyle w:val="Heading3"/>
      </w:pPr>
      <w:r>
        <w:t xml:space="preserve">1.13. 🔗 blocks: I128-2820</w:t>
      </w:r>
    </w:p>
    <w:p>
      <w:pPr>
        <w:pStyle w:val="BlockText"/>
      </w:pPr>
      <w:hyperlink r:id="rId33">
        <w:r>
          <w:rPr>
            <w:rStyle w:val="Hyperlink"/>
            <w:b/>
            <w:bCs/>
          </w:rPr>
          <w:t xml:space="preserve">[I128-2820]</w:t>
        </w:r>
      </w:hyperlink>
      <w:r>
        <w:t xml:space="preserve"> </w:t>
      </w:r>
      <w:r>
        <w:t xml:space="preserve">Реализовать общесистемную автоматизацию Automation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34"/>
    <w:bookmarkStart w:id="36" w:name="blocks-i128-2821"/>
    <w:p>
      <w:pPr>
        <w:pStyle w:val="Heading3"/>
      </w:pPr>
      <w:r>
        <w:t xml:space="preserve">1.14. 🔗 blocks: I128-2821</w:t>
      </w:r>
    </w:p>
    <w:p>
      <w:pPr>
        <w:pStyle w:val="BlockText"/>
      </w:pPr>
      <w:hyperlink r:id="rId35">
        <w:r>
          <w:rPr>
            <w:rStyle w:val="Hyperlink"/>
            <w:b/>
            <w:bCs/>
          </w:rPr>
          <w:t xml:space="preserve">[I128-2821]</w:t>
        </w:r>
      </w:hyperlink>
      <w:r>
        <w:t xml:space="preserve"> </w:t>
      </w:r>
      <w:r>
        <w:t xml:space="preserve">Реализовать рабочие доски WorkflowBoard для workflow-записей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36"/>
    <w:bookmarkStart w:id="38" w:name="blocks-i128-2822"/>
    <w:p>
      <w:pPr>
        <w:pStyle w:val="Heading3"/>
      </w:pPr>
      <w:r>
        <w:t xml:space="preserve">1.15. 🔗 blocks: I128-2822</w:t>
      </w:r>
    </w:p>
    <w:p>
      <w:pPr>
        <w:pStyle w:val="BlockText"/>
      </w:pPr>
      <w:hyperlink r:id="rId37">
        <w:r>
          <w:rPr>
            <w:rStyle w:val="Hyperlink"/>
            <w:b/>
            <w:bCs/>
          </w:rPr>
          <w:t xml:space="preserve">[I128-2822]</w:t>
        </w:r>
      </w:hyperlink>
      <w:r>
        <w:t xml:space="preserve"> </w:t>
      </w:r>
      <w:r>
        <w:t xml:space="preserve">Реализовать календарные представления WorkflowCalendar для workflow-записей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38"/>
    <w:bookmarkStart w:id="40" w:name="blocks-i128-2824"/>
    <w:p>
      <w:pPr>
        <w:pStyle w:val="Heading3"/>
      </w:pPr>
      <w:r>
        <w:t xml:space="preserve">1.16. 🔗 blocks: I128-2824</w:t>
      </w:r>
    </w:p>
    <w:p>
      <w:pPr>
        <w:pStyle w:val="BlockText"/>
      </w:pPr>
      <w:hyperlink r:id="rId39">
        <w:r>
          <w:rPr>
            <w:rStyle w:val="Hyperlink"/>
            <w:b/>
            <w:bCs/>
          </w:rPr>
          <w:t xml:space="preserve">[I128-2824]</w:t>
        </w:r>
      </w:hyperlink>
      <w:r>
        <w:t xml:space="preserve"> </w:t>
      </w:r>
      <w:r>
        <w:t xml:space="preserve">Расширить NewsFeed для ленты проектной активности workflow-проектов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40"/>
    <w:bookmarkStart w:id="42" w:name="blocks-i128-2825"/>
    <w:p>
      <w:pPr>
        <w:pStyle w:val="Heading3"/>
      </w:pPr>
      <w:r>
        <w:t xml:space="preserve">1.17. 🔗 blocks: I128-2825</w:t>
      </w:r>
    </w:p>
    <w:p>
      <w:pPr>
        <w:pStyle w:val="BlockText"/>
      </w:pPr>
      <w:hyperlink r:id="rId41">
        <w:r>
          <w:rPr>
            <w:rStyle w:val="Hyperlink"/>
            <w:b/>
            <w:bCs/>
          </w:rPr>
          <w:t xml:space="preserve">[I128-2825]</w:t>
        </w:r>
      </w:hyperlink>
      <w:r>
        <w:t xml:space="preserve"> </w:t>
      </w:r>
      <w:r>
        <w:t xml:space="preserve">Расширить FieldConfiguration как реестр полей workflow-проектов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42"/>
    <w:bookmarkStart w:id="44" w:name="blocks-i128-2826"/>
    <w:p>
      <w:pPr>
        <w:pStyle w:val="Heading3"/>
      </w:pPr>
      <w:r>
        <w:t xml:space="preserve">1.18. 🔗 blocks: I128-2826</w:t>
      </w:r>
    </w:p>
    <w:p>
      <w:pPr>
        <w:pStyle w:val="BlockText"/>
      </w:pPr>
      <w:hyperlink r:id="rId43">
        <w:r>
          <w:rPr>
            <w:rStyle w:val="Hyperlink"/>
            <w:b/>
            <w:bCs/>
          </w:rPr>
          <w:t xml:space="preserve">[I128-2826]</w:t>
        </w:r>
      </w:hyperlink>
      <w:r>
        <w:t xml:space="preserve"> </w:t>
      </w:r>
      <w:r>
        <w:t xml:space="preserve">Расширить Help для документации задач, API и эксплуатационных runbook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44"/>
    <w:bookmarkStart w:id="46" w:name="blocks-i128-2827"/>
    <w:p>
      <w:pPr>
        <w:pStyle w:val="Heading3"/>
      </w:pPr>
      <w:r>
        <w:t xml:space="preserve">1.19. 🔗 blocks: I128-2827</w:t>
      </w:r>
    </w:p>
    <w:p>
      <w:pPr>
        <w:pStyle w:val="BlockText"/>
      </w:pPr>
      <w:hyperlink r:id="rId45">
        <w:r>
          <w:rPr>
            <w:rStyle w:val="Hyperlink"/>
            <w:b/>
            <w:bCs/>
          </w:rPr>
          <w:t xml:space="preserve">[I128-2827]</w:t>
        </w:r>
      </w:hyperlink>
      <w:r>
        <w:t xml:space="preserve"> </w:t>
      </w:r>
      <w:r>
        <w:t xml:space="preserve">Расширить I128FMail как входящий почтовый канал задач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46"/>
    <w:bookmarkStart w:id="48" w:name="blocks-i128-2828"/>
    <w:p>
      <w:pPr>
        <w:pStyle w:val="Heading3"/>
      </w:pPr>
      <w:r>
        <w:t xml:space="preserve">1.20. 🔗 blocks: I128-2828</w:t>
      </w:r>
    </w:p>
    <w:p>
      <w:pPr>
        <w:pStyle w:val="BlockText"/>
      </w:pPr>
      <w:hyperlink r:id="rId47">
        <w:r>
          <w:rPr>
            <w:rStyle w:val="Hyperlink"/>
            <w:b/>
            <w:bCs/>
          </w:rPr>
          <w:t xml:space="preserve">[I128-2828]</w:t>
        </w:r>
      </w:hyperlink>
      <w:r>
        <w:t xml:space="preserve"> </w:t>
      </w:r>
      <w:r>
        <w:t xml:space="preserve">Расширить Flags для системных feature flags и rollout policy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48"/>
    <w:bookmarkStart w:id="50" w:name="blocks-i128-2829"/>
    <w:p>
      <w:pPr>
        <w:pStyle w:val="Heading3"/>
      </w:pPr>
      <w:r>
        <w:t xml:space="preserve">1.21. 🔗 blocks: I128-2829</w:t>
      </w:r>
    </w:p>
    <w:p>
      <w:pPr>
        <w:pStyle w:val="BlockText"/>
      </w:pPr>
      <w:hyperlink r:id="rId49">
        <w:r>
          <w:rPr>
            <w:rStyle w:val="Hyperlink"/>
            <w:b/>
            <w:bCs/>
          </w:rPr>
          <w:t xml:space="preserve">[I128-2829]</w:t>
        </w:r>
      </w:hyperlink>
      <w:r>
        <w:t xml:space="preserve"> </w:t>
      </w:r>
      <w:r>
        <w:t xml:space="preserve">Расширить Security для системного хранения и ротации секретов интеграций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50"/>
    <w:bookmarkStart w:id="52" w:name="blocks-i128-2830"/>
    <w:p>
      <w:pPr>
        <w:pStyle w:val="Heading3"/>
      </w:pPr>
      <w:r>
        <w:t xml:space="preserve">1.22. 🔗 blocks: I128-2830</w:t>
      </w:r>
    </w:p>
    <w:p>
      <w:pPr>
        <w:pStyle w:val="BlockText"/>
      </w:pPr>
      <w:hyperlink r:id="rId51">
        <w:r>
          <w:rPr>
            <w:rStyle w:val="Hyperlink"/>
            <w:b/>
            <w:bCs/>
          </w:rPr>
          <w:t xml:space="preserve">[I128-2830]</w:t>
        </w:r>
      </w:hyperlink>
      <w:r>
        <w:t xml:space="preserve"> </w:t>
      </w:r>
      <w:r>
        <w:t xml:space="preserve">Реестр API-контрактов и профилей внешней интеграции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52"/>
    <w:bookmarkStart w:id="54" w:name="blocks-i128-2831"/>
    <w:p>
      <w:pPr>
        <w:pStyle w:val="Heading3"/>
      </w:pPr>
      <w:r>
        <w:t xml:space="preserve">1.23. 🔗 blocks: I128-2831</w:t>
      </w:r>
    </w:p>
    <w:p>
      <w:pPr>
        <w:pStyle w:val="BlockText"/>
      </w:pPr>
      <w:hyperlink r:id="rId53">
        <w:r>
          <w:rPr>
            <w:rStyle w:val="Hyperlink"/>
            <w:b/>
            <w:bCs/>
          </w:rPr>
          <w:t xml:space="preserve">[I128-2831]</w:t>
        </w:r>
      </w:hyperlink>
      <w:r>
        <w:t xml:space="preserve"> </w:t>
      </w:r>
      <w:r>
        <w:t xml:space="preserve">Mapping внешних интеграций и реестр ExternalId в модуле API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54"/>
    <w:bookmarkStart w:id="56" w:name="blocks-i128-2832"/>
    <w:p>
      <w:pPr>
        <w:pStyle w:val="Heading3"/>
      </w:pPr>
      <w:r>
        <w:t xml:space="preserve">1.24. 🔗 blocks: I128-2832</w:t>
      </w:r>
    </w:p>
    <w:p>
      <w:pPr>
        <w:pStyle w:val="BlockText"/>
      </w:pPr>
      <w:hyperlink r:id="rId55">
        <w:r>
          <w:rPr>
            <w:rStyle w:val="Hyperlink"/>
            <w:b/>
            <w:bCs/>
          </w:rPr>
          <w:t xml:space="preserve">[I128-2832]</w:t>
        </w:r>
      </w:hyperlink>
      <w:r>
        <w:t xml:space="preserve"> </w:t>
      </w:r>
      <w:r>
        <w:t xml:space="preserve">Политики bidirectional sync и conflict resolution в модуле API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56"/>
    <w:bookmarkStart w:id="58" w:name="blocks-i128-2833"/>
    <w:p>
      <w:pPr>
        <w:pStyle w:val="Heading3"/>
      </w:pPr>
      <w:r>
        <w:t xml:space="preserve">1.25. 🔗 blocks: I128-2833</w:t>
      </w:r>
    </w:p>
    <w:p>
      <w:pPr>
        <w:pStyle w:val="BlockText"/>
      </w:pPr>
      <w:hyperlink r:id="rId57">
        <w:r>
          <w:rPr>
            <w:rStyle w:val="Hyperlink"/>
            <w:b/>
            <w:bCs/>
          </w:rPr>
          <w:t xml:space="preserve">[I128-2833]</w:t>
        </w:r>
      </w:hyperlink>
      <w:r>
        <w:t xml:space="preserve"> </w:t>
      </w:r>
      <w:r>
        <w:t xml:space="preserve">AI-governance core: policy runtime и реестр AI-операций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58"/>
    <w:bookmarkStart w:id="60" w:name="blocks-i128-2834"/>
    <w:p>
      <w:pPr>
        <w:pStyle w:val="Heading3"/>
      </w:pPr>
      <w:r>
        <w:t xml:space="preserve">1.26. 🔗 blocks: I128-2834</w:t>
      </w:r>
    </w:p>
    <w:p>
      <w:pPr>
        <w:pStyle w:val="BlockText"/>
      </w:pPr>
      <w:hyperlink r:id="rId59">
        <w:r>
          <w:rPr>
            <w:rStyle w:val="Hyperlink"/>
            <w:b/>
            <w:bCs/>
          </w:rPr>
          <w:t xml:space="preserve">[I128-2834]</w:t>
        </w:r>
      </w:hyperlink>
      <w:r>
        <w:t xml:space="preserve"> </w:t>
      </w:r>
      <w:r>
        <w:t xml:space="preserve">AI input profiles, masking и consent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60"/>
    <w:bookmarkStart w:id="62" w:name="blocks-i128-2835"/>
    <w:p>
      <w:pPr>
        <w:pStyle w:val="Heading3"/>
      </w:pPr>
      <w:r>
        <w:t xml:space="preserve">1.27. 🔗 blocks: I128-2835</w:t>
      </w:r>
    </w:p>
    <w:p>
      <w:pPr>
        <w:pStyle w:val="BlockText"/>
      </w:pPr>
      <w:hyperlink r:id="rId61">
        <w:r>
          <w:rPr>
            <w:rStyle w:val="Hyperlink"/>
            <w:b/>
            <w:bCs/>
          </w:rPr>
          <w:t xml:space="preserve">[I128-2835]</w:t>
        </w:r>
      </w:hyperlink>
      <w:r>
        <w:t xml:space="preserve"> </w:t>
      </w:r>
      <w:r>
        <w:t xml:space="preserve">AIPrompt registry и versioning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62"/>
    <w:bookmarkStart w:id="64" w:name="blocks-i128-2836"/>
    <w:p>
      <w:pPr>
        <w:pStyle w:val="Heading3"/>
      </w:pPr>
      <w:r>
        <w:t xml:space="preserve">1.28. 🔗 blocks: I128-2836</w:t>
      </w:r>
    </w:p>
    <w:p>
      <w:pPr>
        <w:pStyle w:val="BlockText"/>
      </w:pPr>
      <w:hyperlink r:id="rId63">
        <w:r>
          <w:rPr>
            <w:rStyle w:val="Hyperlink"/>
            <w:b/>
            <w:bCs/>
          </w:rPr>
          <w:t xml:space="preserve">[I128-2836]</w:t>
        </w:r>
      </w:hyperlink>
      <w:r>
        <w:t xml:space="preserve"> </w:t>
      </w:r>
      <w:r>
        <w:t xml:space="preserve">AIProvider/AIModel policy и routing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64"/>
    <w:bookmarkStart w:id="66" w:name="blocks-i128-2837"/>
    <w:p>
      <w:pPr>
        <w:pStyle w:val="Heading3"/>
      </w:pPr>
      <w:r>
        <w:t xml:space="preserve">1.29. 🔗 blocks: I128-2837</w:t>
      </w:r>
    </w:p>
    <w:p>
      <w:pPr>
        <w:pStyle w:val="BlockText"/>
      </w:pPr>
      <w:hyperlink r:id="rId65">
        <w:r>
          <w:rPr>
            <w:rStyle w:val="Hyperlink"/>
            <w:b/>
            <w:bCs/>
          </w:rPr>
          <w:t xml:space="preserve">[I128-2837]</w:t>
        </w:r>
      </w:hyperlink>
      <w:r>
        <w:t xml:space="preserve"> </w:t>
      </w:r>
      <w:r>
        <w:t xml:space="preserve">AITool policy и safe execution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66"/>
    <w:bookmarkStart w:id="68" w:name="blocks-i128-2838"/>
    <w:p>
      <w:pPr>
        <w:pStyle w:val="Heading3"/>
      </w:pPr>
      <w:r>
        <w:t xml:space="preserve">1.30. 🔗 blocks: I128-2838</w:t>
      </w:r>
    </w:p>
    <w:p>
      <w:pPr>
        <w:pStyle w:val="BlockText"/>
      </w:pPr>
      <w:hyperlink r:id="rId67">
        <w:r>
          <w:rPr>
            <w:rStyle w:val="Hyperlink"/>
            <w:b/>
            <w:bCs/>
          </w:rPr>
          <w:t xml:space="preserve">[I128-2838]</w:t>
        </w:r>
      </w:hyperlink>
      <w:r>
        <w:t xml:space="preserve"> </w:t>
      </w:r>
      <w:r>
        <w:t xml:space="preserve">AI-операции задач в модуле Tasks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68"/>
    <w:bookmarkStart w:id="70" w:name="blocks-i128-2839"/>
    <w:p>
      <w:pPr>
        <w:pStyle w:val="Heading3"/>
      </w:pPr>
      <w:r>
        <w:t xml:space="preserve">1.31. 🔗 blocks: I128-2839</w:t>
      </w:r>
    </w:p>
    <w:p>
      <w:pPr>
        <w:pStyle w:val="BlockText"/>
      </w:pPr>
      <w:hyperlink r:id="rId69">
        <w:r>
          <w:rPr>
            <w:rStyle w:val="Hyperlink"/>
            <w:b/>
            <w:bCs/>
          </w:rPr>
          <w:t xml:space="preserve">[I128-2839]</w:t>
        </w:r>
      </w:hyperlink>
      <w:r>
        <w:t xml:space="preserve"> </w:t>
      </w:r>
      <w:r>
        <w:t xml:space="preserve">Реализовать WorkflowApproval для формальных согласований workflow-переходов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70"/>
    <w:bookmarkStart w:id="72" w:name="blocks-i128-2840"/>
    <w:p>
      <w:pPr>
        <w:pStyle w:val="Heading3"/>
      </w:pPr>
      <w:r>
        <w:t xml:space="preserve">1.32. 🔗 blocks: I128-2840</w:t>
      </w:r>
    </w:p>
    <w:p>
      <w:pPr>
        <w:pStyle w:val="BlockText"/>
      </w:pPr>
      <w:hyperlink r:id="rId71">
        <w:r>
          <w:rPr>
            <w:rStyle w:val="Hyperlink"/>
            <w:b/>
            <w:bCs/>
          </w:rPr>
          <w:t xml:space="preserve">[I128-2840]</w:t>
        </w:r>
      </w:hyperlink>
      <w:r>
        <w:t xml:space="preserve"> </w:t>
      </w:r>
      <w:r>
        <w:t xml:space="preserve">Реализовать WorkflowDesigner как единую административную студию настройки workflow-проектов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72"/>
    <w:bookmarkStart w:id="74" w:name="blocks-i128-2793"/>
    <w:p>
      <w:pPr>
        <w:pStyle w:val="Heading3"/>
      </w:pPr>
      <w:r>
        <w:t xml:space="preserve">1.33. 🔗 blocks: I128-2793</w:t>
      </w:r>
    </w:p>
    <w:p>
      <w:pPr>
        <w:pStyle w:val="BlockText"/>
      </w:pPr>
      <w:hyperlink r:id="rId73">
        <w:r>
          <w:rPr>
            <w:rStyle w:val="Hyperlink"/>
            <w:b/>
            <w:bCs/>
          </w:rPr>
          <w:t xml:space="preserve">[I128-2793]</w:t>
        </w:r>
      </w:hyperlink>
      <w:r>
        <w:t xml:space="preserve"> </w:t>
      </w:r>
      <w:r>
        <w:t xml:space="preserve">Ввести TraceContext для сквозной трассировки операций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74"/>
    <w:bookmarkStart w:id="76" w:name="blocks-i128-2797"/>
    <w:p>
      <w:pPr>
        <w:pStyle w:val="Heading3"/>
      </w:pPr>
      <w:r>
        <w:t xml:space="preserve">1.34. 🔗 blocks: I128-2797</w:t>
      </w:r>
    </w:p>
    <w:p>
      <w:pPr>
        <w:pStyle w:val="BlockText"/>
      </w:pPr>
      <w:hyperlink r:id="rId75">
        <w:r>
          <w:rPr>
            <w:rStyle w:val="Hyperlink"/>
            <w:b/>
            <w:bCs/>
          </w:rPr>
          <w:t xml:space="preserve">[I128-2797]</w:t>
        </w:r>
      </w:hyperlink>
      <w:r>
        <w:t xml:space="preserve"> </w:t>
      </w:r>
      <w:r>
        <w:t xml:space="preserve">Расширить Security для проектных прав, полей, действий и аудита доступа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76"/>
    <w:bookmarkEnd w:id="77"/>
    <w:bookmarkEnd w:id="7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4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5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73" Target="?id=Help/Show&amp;m=Help/GeneralDescription/WhatsNew/I128/TaskInfo/I128-2793/README" TargetMode="External" /><Relationship Type="http://schemas.openxmlformats.org/officeDocument/2006/relationships/hyperlink" Id="rId75" Target="?id=Help/Show&amp;m=Help/GeneralDescription/WhatsNew/I128/TaskInfo/I128-2797/README" TargetMode="External" /><Relationship Type="http://schemas.openxmlformats.org/officeDocument/2006/relationships/hyperlink" Id="rId9" Target="?id=Help/Show&amp;m=Help/GeneralDescription/WhatsNew/I128/TaskInfo/I128-2799/README" TargetMode="External" /><Relationship Type="http://schemas.openxmlformats.org/officeDocument/2006/relationships/hyperlink" Id="rId11" Target="?id=Help/Show&amp;m=Help/GeneralDescription/WhatsNew/I128/TaskInfo/I128-2801/README" TargetMode="External" /><Relationship Type="http://schemas.openxmlformats.org/officeDocument/2006/relationships/hyperlink" Id="rId13" Target="?id=Help/Show&amp;m=Help/GeneralDescription/WhatsNew/I128/TaskInfo/I128-2806/README" TargetMode="External" /><Relationship Type="http://schemas.openxmlformats.org/officeDocument/2006/relationships/hyperlink" Id="rId15" Target="?id=Help/Show&amp;m=Help/GeneralDescription/WhatsNew/I128/TaskInfo/I128-2807/README" TargetMode="External" /><Relationship Type="http://schemas.openxmlformats.org/officeDocument/2006/relationships/hyperlink" Id="rId17" Target="?id=Help/Show&amp;m=Help/GeneralDescription/WhatsNew/I128/TaskInfo/I128-2808/README" TargetMode="External" /><Relationship Type="http://schemas.openxmlformats.org/officeDocument/2006/relationships/hyperlink" Id="rId19" Target="?id=Help/Show&amp;m=Help/GeneralDescription/WhatsNew/I128/TaskInfo/I128-2809/README" TargetMode="External" /><Relationship Type="http://schemas.openxmlformats.org/officeDocument/2006/relationships/hyperlink" Id="rId21" Target="?id=Help/Show&amp;m=Help/GeneralDescription/WhatsNew/I128/TaskInfo/I128-2810/README" TargetMode="External" /><Relationship Type="http://schemas.openxmlformats.org/officeDocument/2006/relationships/hyperlink" Id="rId23" Target="?id=Help/Show&amp;m=Help/GeneralDescription/WhatsNew/I128/TaskInfo/I128-2811/README" TargetMode="External" /><Relationship Type="http://schemas.openxmlformats.org/officeDocument/2006/relationships/hyperlink" Id="rId25" Target="?id=Help/Show&amp;m=Help/GeneralDescription/WhatsNew/I128/TaskInfo/I128-2814/README" TargetMode="External" /><Relationship Type="http://schemas.openxmlformats.org/officeDocument/2006/relationships/hyperlink" Id="rId27" Target="?id=Help/Show&amp;m=Help/GeneralDescription/WhatsNew/I128/TaskInfo/I128-2816/README" TargetMode="External" /><Relationship Type="http://schemas.openxmlformats.org/officeDocument/2006/relationships/hyperlink" Id="rId29" Target="?id=Help/Show&amp;m=Help/GeneralDescription/WhatsNew/I128/TaskInfo/I128-2817/README" TargetMode="External" /><Relationship Type="http://schemas.openxmlformats.org/officeDocument/2006/relationships/hyperlink" Id="rId31" Target="?id=Help/Show&amp;m=Help/GeneralDescription/WhatsNew/I128/TaskInfo/I128-2818/README" TargetMode="External" /><Relationship Type="http://schemas.openxmlformats.org/officeDocument/2006/relationships/hyperlink" Id="rId33" Target="?id=Help/Show&amp;m=Help/GeneralDescription/WhatsNew/I128/TaskInfo/I128-2820/README" TargetMode="External" /><Relationship Type="http://schemas.openxmlformats.org/officeDocument/2006/relationships/hyperlink" Id="rId35" Target="?id=Help/Show&amp;m=Help/GeneralDescription/WhatsNew/I128/TaskInfo/I128-2821/README" TargetMode="External" /><Relationship Type="http://schemas.openxmlformats.org/officeDocument/2006/relationships/hyperlink" Id="rId37" Target="?id=Help/Show&amp;m=Help/GeneralDescription/WhatsNew/I128/TaskInfo/I128-2822/README" TargetMode="External" /><Relationship Type="http://schemas.openxmlformats.org/officeDocument/2006/relationships/hyperlink" Id="rId39" Target="?id=Help/Show&amp;m=Help/GeneralDescription/WhatsNew/I128/TaskInfo/I128-2824/README" TargetMode="External" /><Relationship Type="http://schemas.openxmlformats.org/officeDocument/2006/relationships/hyperlink" Id="rId41" Target="?id=Help/Show&amp;m=Help/GeneralDescription/WhatsNew/I128/TaskInfo/I128-2825/README" TargetMode="External" /><Relationship Type="http://schemas.openxmlformats.org/officeDocument/2006/relationships/hyperlink" Id="rId43" Target="?id=Help/Show&amp;m=Help/GeneralDescription/WhatsNew/I128/TaskInfo/I128-2826/README" TargetMode="External" /><Relationship Type="http://schemas.openxmlformats.org/officeDocument/2006/relationships/hyperlink" Id="rId45" Target="?id=Help/Show&amp;m=Help/GeneralDescription/WhatsNew/I128/TaskInfo/I128-2827/README" TargetMode="External" /><Relationship Type="http://schemas.openxmlformats.org/officeDocument/2006/relationships/hyperlink" Id="rId47" Target="?id=Help/Show&amp;m=Help/GeneralDescription/WhatsNew/I128/TaskInfo/I128-2828/README" TargetMode="External" /><Relationship Type="http://schemas.openxmlformats.org/officeDocument/2006/relationships/hyperlink" Id="rId49" Target="?id=Help/Show&amp;m=Help/GeneralDescription/WhatsNew/I128/TaskInfo/I128-2829/README" TargetMode="External" /><Relationship Type="http://schemas.openxmlformats.org/officeDocument/2006/relationships/hyperlink" Id="rId51" Target="?id=Help/Show&amp;m=Help/GeneralDescription/WhatsNew/I128/TaskInfo/I128-2830/README" TargetMode="External" /><Relationship Type="http://schemas.openxmlformats.org/officeDocument/2006/relationships/hyperlink" Id="rId53" Target="?id=Help/Show&amp;m=Help/GeneralDescription/WhatsNew/I128/TaskInfo/I128-2831/README" TargetMode="External" /><Relationship Type="http://schemas.openxmlformats.org/officeDocument/2006/relationships/hyperlink" Id="rId55" Target="?id=Help/Show&amp;m=Help/GeneralDescription/WhatsNew/I128/TaskInfo/I128-2832/README" TargetMode="External" /><Relationship Type="http://schemas.openxmlformats.org/officeDocument/2006/relationships/hyperlink" Id="rId57" Target="?id=Help/Show&amp;m=Help/GeneralDescription/WhatsNew/I128/TaskInfo/I128-2833/README" TargetMode="External" /><Relationship Type="http://schemas.openxmlformats.org/officeDocument/2006/relationships/hyperlink" Id="rId59" Target="?id=Help/Show&amp;m=Help/GeneralDescription/WhatsNew/I128/TaskInfo/I128-2834/README" TargetMode="External" /><Relationship Type="http://schemas.openxmlformats.org/officeDocument/2006/relationships/hyperlink" Id="rId61" Target="?id=Help/Show&amp;m=Help/GeneralDescription/WhatsNew/I128/TaskInfo/I128-2835/README" TargetMode="External" /><Relationship Type="http://schemas.openxmlformats.org/officeDocument/2006/relationships/hyperlink" Id="rId63" Target="?id=Help/Show&amp;m=Help/GeneralDescription/WhatsNew/I128/TaskInfo/I128-2836/README" TargetMode="External" /><Relationship Type="http://schemas.openxmlformats.org/officeDocument/2006/relationships/hyperlink" Id="rId65" Target="?id=Help/Show&amp;m=Help/GeneralDescription/WhatsNew/I128/TaskInfo/I128-2837/README" TargetMode="External" /><Relationship Type="http://schemas.openxmlformats.org/officeDocument/2006/relationships/hyperlink" Id="rId67" Target="?id=Help/Show&amp;m=Help/GeneralDescription/WhatsNew/I128/TaskInfo/I128-2838/README" TargetMode="External" /><Relationship Type="http://schemas.openxmlformats.org/officeDocument/2006/relationships/hyperlink" Id="rId69" Target="?id=Help/Show&amp;m=Help/GeneralDescription/WhatsNew/I128/TaskInfo/I128-2839/README" TargetMode="External" /><Relationship Type="http://schemas.openxmlformats.org/officeDocument/2006/relationships/hyperlink" Id="rId71" Target="?id=Help/Show&amp;m=Help/GeneralDescription/WhatsNew/I128/TaskInfo/I128-2840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73" Target="?id=Help/Show&amp;m=Help/GeneralDescription/WhatsNew/I128/TaskInfo/I128-2793/README" TargetMode="External" /><Relationship Type="http://schemas.openxmlformats.org/officeDocument/2006/relationships/hyperlink" Id="rId75" Target="?id=Help/Show&amp;m=Help/GeneralDescription/WhatsNew/I128/TaskInfo/I128-2797/README" TargetMode="External" /><Relationship Type="http://schemas.openxmlformats.org/officeDocument/2006/relationships/hyperlink" Id="rId9" Target="?id=Help/Show&amp;m=Help/GeneralDescription/WhatsNew/I128/TaskInfo/I128-2799/README" TargetMode="External" /><Relationship Type="http://schemas.openxmlformats.org/officeDocument/2006/relationships/hyperlink" Id="rId11" Target="?id=Help/Show&amp;m=Help/GeneralDescription/WhatsNew/I128/TaskInfo/I128-2801/README" TargetMode="External" /><Relationship Type="http://schemas.openxmlformats.org/officeDocument/2006/relationships/hyperlink" Id="rId13" Target="?id=Help/Show&amp;m=Help/GeneralDescription/WhatsNew/I128/TaskInfo/I128-2806/README" TargetMode="External" /><Relationship Type="http://schemas.openxmlformats.org/officeDocument/2006/relationships/hyperlink" Id="rId15" Target="?id=Help/Show&amp;m=Help/GeneralDescription/WhatsNew/I128/TaskInfo/I128-2807/README" TargetMode="External" /><Relationship Type="http://schemas.openxmlformats.org/officeDocument/2006/relationships/hyperlink" Id="rId17" Target="?id=Help/Show&amp;m=Help/GeneralDescription/WhatsNew/I128/TaskInfo/I128-2808/README" TargetMode="External" /><Relationship Type="http://schemas.openxmlformats.org/officeDocument/2006/relationships/hyperlink" Id="rId19" Target="?id=Help/Show&amp;m=Help/GeneralDescription/WhatsNew/I128/TaskInfo/I128-2809/README" TargetMode="External" /><Relationship Type="http://schemas.openxmlformats.org/officeDocument/2006/relationships/hyperlink" Id="rId21" Target="?id=Help/Show&amp;m=Help/GeneralDescription/WhatsNew/I128/TaskInfo/I128-2810/README" TargetMode="External" /><Relationship Type="http://schemas.openxmlformats.org/officeDocument/2006/relationships/hyperlink" Id="rId23" Target="?id=Help/Show&amp;m=Help/GeneralDescription/WhatsNew/I128/TaskInfo/I128-2811/README" TargetMode="External" /><Relationship Type="http://schemas.openxmlformats.org/officeDocument/2006/relationships/hyperlink" Id="rId25" Target="?id=Help/Show&amp;m=Help/GeneralDescription/WhatsNew/I128/TaskInfo/I128-2814/README" TargetMode="External" /><Relationship Type="http://schemas.openxmlformats.org/officeDocument/2006/relationships/hyperlink" Id="rId27" Target="?id=Help/Show&amp;m=Help/GeneralDescription/WhatsNew/I128/TaskInfo/I128-2816/README" TargetMode="External" /><Relationship Type="http://schemas.openxmlformats.org/officeDocument/2006/relationships/hyperlink" Id="rId29" Target="?id=Help/Show&amp;m=Help/GeneralDescription/WhatsNew/I128/TaskInfo/I128-2817/README" TargetMode="External" /><Relationship Type="http://schemas.openxmlformats.org/officeDocument/2006/relationships/hyperlink" Id="rId31" Target="?id=Help/Show&amp;m=Help/GeneralDescription/WhatsNew/I128/TaskInfo/I128-2818/README" TargetMode="External" /><Relationship Type="http://schemas.openxmlformats.org/officeDocument/2006/relationships/hyperlink" Id="rId33" Target="?id=Help/Show&amp;m=Help/GeneralDescription/WhatsNew/I128/TaskInfo/I128-2820/README" TargetMode="External" /><Relationship Type="http://schemas.openxmlformats.org/officeDocument/2006/relationships/hyperlink" Id="rId35" Target="?id=Help/Show&amp;m=Help/GeneralDescription/WhatsNew/I128/TaskInfo/I128-2821/README" TargetMode="External" /><Relationship Type="http://schemas.openxmlformats.org/officeDocument/2006/relationships/hyperlink" Id="rId37" Target="?id=Help/Show&amp;m=Help/GeneralDescription/WhatsNew/I128/TaskInfo/I128-2822/README" TargetMode="External" /><Relationship Type="http://schemas.openxmlformats.org/officeDocument/2006/relationships/hyperlink" Id="rId39" Target="?id=Help/Show&amp;m=Help/GeneralDescription/WhatsNew/I128/TaskInfo/I128-2824/README" TargetMode="External" /><Relationship Type="http://schemas.openxmlformats.org/officeDocument/2006/relationships/hyperlink" Id="rId41" Target="?id=Help/Show&amp;m=Help/GeneralDescription/WhatsNew/I128/TaskInfo/I128-2825/README" TargetMode="External" /><Relationship Type="http://schemas.openxmlformats.org/officeDocument/2006/relationships/hyperlink" Id="rId43" Target="?id=Help/Show&amp;m=Help/GeneralDescription/WhatsNew/I128/TaskInfo/I128-2826/README" TargetMode="External" /><Relationship Type="http://schemas.openxmlformats.org/officeDocument/2006/relationships/hyperlink" Id="rId45" Target="?id=Help/Show&amp;m=Help/GeneralDescription/WhatsNew/I128/TaskInfo/I128-2827/README" TargetMode="External" /><Relationship Type="http://schemas.openxmlformats.org/officeDocument/2006/relationships/hyperlink" Id="rId47" Target="?id=Help/Show&amp;m=Help/GeneralDescription/WhatsNew/I128/TaskInfo/I128-2828/README" TargetMode="External" /><Relationship Type="http://schemas.openxmlformats.org/officeDocument/2006/relationships/hyperlink" Id="rId49" Target="?id=Help/Show&amp;m=Help/GeneralDescription/WhatsNew/I128/TaskInfo/I128-2829/README" TargetMode="External" /><Relationship Type="http://schemas.openxmlformats.org/officeDocument/2006/relationships/hyperlink" Id="rId51" Target="?id=Help/Show&amp;m=Help/GeneralDescription/WhatsNew/I128/TaskInfo/I128-2830/README" TargetMode="External" /><Relationship Type="http://schemas.openxmlformats.org/officeDocument/2006/relationships/hyperlink" Id="rId53" Target="?id=Help/Show&amp;m=Help/GeneralDescription/WhatsNew/I128/TaskInfo/I128-2831/README" TargetMode="External" /><Relationship Type="http://schemas.openxmlformats.org/officeDocument/2006/relationships/hyperlink" Id="rId55" Target="?id=Help/Show&amp;m=Help/GeneralDescription/WhatsNew/I128/TaskInfo/I128-2832/README" TargetMode="External" /><Relationship Type="http://schemas.openxmlformats.org/officeDocument/2006/relationships/hyperlink" Id="rId57" Target="?id=Help/Show&amp;m=Help/GeneralDescription/WhatsNew/I128/TaskInfo/I128-2833/README" TargetMode="External" /><Relationship Type="http://schemas.openxmlformats.org/officeDocument/2006/relationships/hyperlink" Id="rId59" Target="?id=Help/Show&amp;m=Help/GeneralDescription/WhatsNew/I128/TaskInfo/I128-2834/README" TargetMode="External" /><Relationship Type="http://schemas.openxmlformats.org/officeDocument/2006/relationships/hyperlink" Id="rId61" Target="?id=Help/Show&amp;m=Help/GeneralDescription/WhatsNew/I128/TaskInfo/I128-2835/README" TargetMode="External" /><Relationship Type="http://schemas.openxmlformats.org/officeDocument/2006/relationships/hyperlink" Id="rId63" Target="?id=Help/Show&amp;m=Help/GeneralDescription/WhatsNew/I128/TaskInfo/I128-2836/README" TargetMode="External" /><Relationship Type="http://schemas.openxmlformats.org/officeDocument/2006/relationships/hyperlink" Id="rId65" Target="?id=Help/Show&amp;m=Help/GeneralDescription/WhatsNew/I128/TaskInfo/I128-2837/README" TargetMode="External" /><Relationship Type="http://schemas.openxmlformats.org/officeDocument/2006/relationships/hyperlink" Id="rId67" Target="?id=Help/Show&amp;m=Help/GeneralDescription/WhatsNew/I128/TaskInfo/I128-2838/README" TargetMode="External" /><Relationship Type="http://schemas.openxmlformats.org/officeDocument/2006/relationships/hyperlink" Id="rId69" Target="?id=Help/Show&amp;m=Help/GeneralDescription/WhatsNew/I128/TaskInfo/I128-2839/README" TargetMode="External" /><Relationship Type="http://schemas.openxmlformats.org/officeDocument/2006/relationships/hyperlink" Id="rId71" Target="?id=Help/Show&amp;m=Help/GeneralDescription/WhatsNew/I128/TaskInfo/I128-2840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[I128-2798] Реализовать HealthCheck для workflow-проектов и задач</dc:title>
  <dc:creator/>
  <cp:keywords/>
  <dcterms:created xsi:type="dcterms:W3CDTF">2026-10-15T15:25:31Z</dcterms:created>
  <dcterms:modified xsi:type="dcterms:W3CDTF">2026-10-15T15:25:31Z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