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NJP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njp"/>
    <w:p>
      <w:pPr>
        <w:pStyle w:val="Heading1"/>
      </w:pPr>
      <w:r>
        <w:t xml:space="preserve">Назначение NJP</w:t>
      </w:r>
    </w:p>
    <w:p>
      <w:pPr>
        <w:pStyle w:val="FirstParagraph"/>
      </w:pPr>
      <w:r>
        <w:rPr>
          <w:rStyle w:val="VerbatimChar"/>
        </w:rPr>
        <w:t xml:space="preserve">NJP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NJP</w:t>
      </w:r>
      <w:r>
        <w:t xml:space="preserve">. Он используется для описания номера периодического издания внутри подшивки, когда номер должен выводиться и редактироваться отдельно от карточки всей подшивки.</w:t>
      </w:r>
    </w:p>
    <w:p>
      <w:pPr>
        <w:pStyle w:val="BodyText"/>
      </w:pPr>
      <w:r>
        <w:t xml:space="preserve">Модуль использует полевой редактор и набор форматов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, которые отвечают за краткое, полное и визуальное представление 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NJP</dc:title>
  <dc:creator/>
  <cp:keywords/>
  <dcterms:created xsi:type="dcterms:W3CDTF">2026-11-02T05:16:05Z</dcterms:created>
  <dcterms:modified xsi:type="dcterms:W3CDTF">2026-11-02T05:16:05Z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