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RAVR(формат)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avrформат"/>
    <w:p>
      <w:pPr>
        <w:pStyle w:val="Heading1"/>
      </w:pPr>
      <w:r>
        <w:t xml:space="preserve">Функция RAVR(формат)</w:t>
      </w:r>
    </w:p>
    <w:p>
      <w:pPr>
        <w:pStyle w:val="FirstParagraph"/>
      </w:pPr>
      <w:r>
        <w:t xml:space="preserve">Функция RAVR возвращает среднее арифметическое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Вычисленное среднее значение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необходимо предусмотреть, чтобы такое разделение в формате присутствовало. Функция RAVR может использоваться для вычисления среднего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</w:t>
            </w:r>
            <w:r>
              <w:t xml:space="preserve">‘1, 2, 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(v1|;|)</w:t>
            </w:r>
          </w:p>
        </w:tc>
        <w:tc>
          <w:tcPr/>
          <w:p>
            <w:pPr>
              <w:pStyle w:val="Compact"/>
            </w:pPr>
            <w:r>
              <w:t xml:space="preserve">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ravr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25.25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RAVR(формат)</dc:title>
  <dc:creator/>
  <cp:keywords/>
  <dcterms:created xsi:type="dcterms:W3CDTF">2026-10-21T20:36:58Z</dcterms:created>
  <dcterms:modified xsi:type="dcterms:W3CDTF">2026-10-21T20:36:58Z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