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индивидуальных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индивидуальных-авторов"/>
    <w:p>
      <w:pPr>
        <w:pStyle w:val="Heading1"/>
      </w:pPr>
      <w:r>
        <w:t xml:space="preserve">Авторитетный файл индивидуальных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ведёт авторитетные записи индивидуальных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 открываются через полевой редактор и могут использоваться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индивидуальных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поиска, используемый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GetNewAthra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используются как контролируемый источник имён персональных авторов и связанных вариантов заголовка.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ATHRA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используется при выборе индивидуального автора из авторитетного файла, в том числе через метод ввода 10 в записи каталога. Если для автора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заголовка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автора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с заголовком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автора из авторитетного файла перед автором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Автор выбран из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имени автора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автором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A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A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индивидуальных авторов</dc:title>
  <dc:creator/>
  <cp:keywords/>
  <dcterms:created xsi:type="dcterms:W3CDTF">2026-08-29T11:42:55Z</dcterms:created>
  <dcterms:modified xsi:type="dcterms:W3CDTF">2026-08-29T11:42:55Z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