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Endpoint и формат обмена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endpoint-и-формат-обмена"/>
    <w:p>
      <w:pPr>
        <w:pStyle w:val="Heading1"/>
      </w:pPr>
      <w:r>
        <w:t xml:space="preserve">Endpoint и формат обмена</w:t>
      </w:r>
    </w:p>
    <w:p>
      <w:pPr>
        <w:pStyle w:val="FirstParagraph"/>
      </w:pPr>
      <w:r>
        <w:t xml:space="preserve">JSON-RPC сервер модуля доступен через входную точку:</w:t>
      </w:r>
    </w:p>
    <w:p>
      <w:pPr>
        <w:pStyle w:val="SourceCode"/>
      </w:pPr>
      <w:r>
        <w:rPr>
          <w:rStyle w:val="VerbatimChar"/>
        </w:rPr>
        <w:t xml:space="preserve">POST /JSONRPC.php?i128Module=Bitrix24</w:t>
      </w:r>
    </w:p>
    <w:p>
      <w:pPr>
        <w:pStyle w:val="FirstParagraph"/>
      </w:pPr>
      <w:r>
        <w:t xml:space="preserve">Тело запроса должно быть JSON-RPC 2.0 объектом или массивом объектов для</w:t>
      </w:r>
      <w:r>
        <w:t xml:space="preserve"> </w:t>
      </w:r>
      <w:r>
        <w:t xml:space="preserve">batch-вызова. Для обычного вызова указываются поля</w:t>
      </w:r>
      <w:r>
        <w:t xml:space="preserve"> </w:t>
      </w:r>
      <w:r>
        <w:rPr>
          <w:rStyle w:val="VerbatimChar"/>
        </w:rPr>
        <w:t xml:space="preserve">jsonrpc</w:t>
      </w:r>
      <w:r>
        <w:t xml:space="preserve">,</w:t>
      </w:r>
      <w:r>
        <w:t xml:space="preserve"> </w:t>
      </w:r>
      <w:r>
        <w:rPr>
          <w:rStyle w:val="VerbatimChar"/>
        </w:rPr>
        <w:t xml:space="preserve">method</w:t>
      </w:r>
      <w:r>
        <w:t xml:space="preserve">,</w:t>
      </w:r>
      <w:r>
        <w:t xml:space="preserve"> </w:t>
      </w:r>
      <w:r>
        <w:rPr>
          <w:rStyle w:val="VerbatimChar"/>
        </w:rPr>
        <w:t xml:space="preserve">params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id</w:t>
      </w:r>
      <w:r>
        <w:t xml:space="preserve">.</w:t>
      </w:r>
    </w:p>
    <w:p>
      <w:pPr>
        <w:pStyle w:val="SourceCode"/>
      </w:pP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"jsonrpc"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"2.0"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"method"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"GetUser"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"params"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"user_id"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"reader-001"</w:t>
      </w:r>
      <w:r>
        <w:br/>
      </w:r>
      <w:r>
        <w:rPr>
          <w:rStyle w:val="NormalTok"/>
        </w:rPr>
        <w:t xml:space="preserve">  </w:t>
      </w:r>
      <w:r>
        <w:rPr>
          <w:rStyle w:val="FunctionTok"/>
        </w:rPr>
        <w:t xml:space="preserve">},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"id"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br/>
      </w:r>
      <w:r>
        <w:rPr>
          <w:rStyle w:val="FunctionTok"/>
        </w:rPr>
        <w:t xml:space="preserve">}</w:t>
      </w:r>
    </w:p>
    <w:p>
      <w:pPr>
        <w:pStyle w:val="FirstParagraph"/>
      </w:pPr>
      <w:r>
        <w:t xml:space="preserve">Ответ содержит</w:t>
      </w:r>
      <w:r>
        <w:t xml:space="preserve"> </w:t>
      </w:r>
      <w:r>
        <w:rPr>
          <w:rStyle w:val="VerbatimChar"/>
        </w:rPr>
        <w:t xml:space="preserve">result</w:t>
      </w:r>
      <w:r>
        <w:t xml:space="preserve"> </w:t>
      </w:r>
      <w:r>
        <w:t xml:space="preserve">при успешном выполнении или</w:t>
      </w:r>
      <w:r>
        <w:t xml:space="preserve"> </w:t>
      </w:r>
      <w:r>
        <w:rPr>
          <w:rStyle w:val="VerbatimChar"/>
        </w:rPr>
        <w:t xml:space="preserve">error</w:t>
      </w:r>
      <w:r>
        <w:t xml:space="preserve"> </w:t>
      </w:r>
      <w:r>
        <w:t xml:space="preserve">при ошибке.</w:t>
      </w:r>
    </w:p>
    <w:p>
      <w:pPr>
        <w:pStyle w:val="SourceCode"/>
      </w:pP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"jsonrpc"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"2.0"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"result"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{},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"id"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br/>
      </w:r>
      <w:r>
        <w:rPr>
          <w:rStyle w:val="FunctionTok"/>
        </w:rPr>
        <w:t xml:space="preserve">}</w:t>
      </w:r>
    </w:p>
    <w:bookmarkStart w:id="9" w:name="правила-вызова"/>
    <w:p>
      <w:pPr>
        <w:pStyle w:val="Heading2"/>
      </w:pPr>
      <w:r>
        <w:t xml:space="preserve">1. Правила вызова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Правило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Метод HTTP</w:t>
            </w:r>
          </w:p>
        </w:tc>
        <w:tc>
          <w:tcPr/>
          <w:p>
            <w:pPr>
              <w:pStyle w:val="Compact"/>
            </w:pPr>
            <w:r>
              <w:t xml:space="preserve">Сервер принимает только</w:t>
            </w:r>
            <w:r>
              <w:t xml:space="preserve"> </w:t>
            </w:r>
            <w:r>
              <w:rPr>
                <w:rStyle w:val="VerbatimChar"/>
              </w:rPr>
              <w:t xml:space="preserve">POST</w:t>
            </w:r>
            <w:r>
              <w:t xml:space="preserve"> </w:t>
            </w:r>
            <w:r>
              <w:t xml:space="preserve">для обычных JSON-RPC вызовов.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Тип тела</w:t>
            </w:r>
          </w:p>
        </w:tc>
        <w:tc>
          <w:tcPr/>
          <w:p>
            <w:pPr>
              <w:pStyle w:val="Compact"/>
            </w:pPr>
            <w:r>
              <w:t xml:space="preserve">JSON-объект JSON-RPC 2.0 или массив объектов для batch-вызова.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Если поле</w:t>
            </w:r>
            <w:r>
              <w:t xml:space="preserve"> </w:t>
            </w:r>
            <w:r>
              <w:rPr>
                <w:rStyle w:val="VerbatimChar"/>
              </w:rPr>
              <w:t xml:space="preserve">id</w:t>
            </w:r>
            <w:r>
              <w:t xml:space="preserve"> </w:t>
            </w:r>
            <w:r>
              <w:t xml:space="preserve">не передано, вызов считается notification и ответ не возвращается.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Параметры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params</w:t>
            </w:r>
            <w:r>
              <w:t xml:space="preserve"> </w:t>
            </w:r>
            <w:r>
              <w:t xml:space="preserve">можно передавать позиционным массивом или объектом с именованными параметрами.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Именованные параметры</w:t>
            </w:r>
          </w:p>
        </w:tc>
        <w:tc>
          <w:tcPr/>
          <w:p>
            <w:pPr>
              <w:pStyle w:val="Compact"/>
            </w:pPr>
            <w:r>
              <w:t xml:space="preserve">При объекте</w:t>
            </w:r>
            <w:r>
              <w:t xml:space="preserve"> </w:t>
            </w:r>
            <w:r>
              <w:rPr>
                <w:rStyle w:val="VerbatimChar"/>
              </w:rPr>
              <w:t xml:space="preserve">params</w:t>
            </w:r>
            <w:r>
              <w:t xml:space="preserve"> </w:t>
            </w:r>
            <w:r>
              <w:t xml:space="preserve">значения сопоставляются с именами параметров PHP-метода.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Batch</w:t>
            </w:r>
          </w:p>
        </w:tc>
        <w:tc>
          <w:tcPr/>
          <w:p>
            <w:pPr>
              <w:pStyle w:val="Compact"/>
            </w:pPr>
            <w:r>
              <w:t xml:space="preserve">Если тело запроса - массив, сервер выполнит каждый вызов и вернет массив ответов.</w:t>
            </w:r>
          </w:p>
        </w:tc>
      </w:tr>
      <w:tr>
        <w:tc>
          <w:tcPr/>
          <w:p>
            <w:pPr>
              <w:pStyle w:val="Compact"/>
            </w:pPr>
            <w:r>
              <w:t xml:space="preserve">SMD</w:t>
            </w:r>
          </w:p>
        </w:tc>
        <w:tc>
          <w:tcPr/>
          <w:p>
            <w:pPr>
              <w:pStyle w:val="Compact"/>
            </w:pPr>
            <w:r>
              <w:t xml:space="preserve">Запрос с параметром</w:t>
            </w:r>
            <w:r>
              <w:t xml:space="preserve"> </w:t>
            </w:r>
            <w:r>
              <w:rPr>
                <w:rStyle w:val="VerbatimChar"/>
              </w:rPr>
              <w:t xml:space="preserve">smd</w:t>
            </w:r>
            <w:r>
              <w:t xml:space="preserve"> </w:t>
            </w:r>
            <w:r>
              <w:t xml:space="preserve">возвращает service map, построенный по публичным методам сервера.</w:t>
            </w:r>
          </w:p>
        </w:tc>
      </w:tr>
    </w:tbl>
    <w:bookmarkEnd w:id="9"/>
    <w:bookmarkStart w:id="10" w:name="ошибки-json-rpc"/>
    <w:p>
      <w:pPr>
        <w:pStyle w:val="Heading2"/>
      </w:pPr>
      <w:r>
        <w:t xml:space="preserve">2. Ошибки JSON-RPC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-32700</w:t>
            </w:r>
          </w:p>
        </w:tc>
        <w:tc>
          <w:tcPr/>
          <w:p>
            <w:pPr>
              <w:pStyle w:val="Compact"/>
            </w:pPr>
            <w:r>
              <w:t xml:space="preserve">Ошибка разбора JSON.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-32600</w:t>
            </w:r>
          </w:p>
        </w:tc>
        <w:tc>
          <w:tcPr/>
          <w:p>
            <w:pPr>
              <w:pStyle w:val="Compact"/>
            </w:pPr>
            <w:r>
              <w:t xml:space="preserve">Некорректный запрос: например, не</w:t>
            </w:r>
            <w:r>
              <w:t xml:space="preserve"> </w:t>
            </w:r>
            <w:r>
              <w:rPr>
                <w:rStyle w:val="VerbatimChar"/>
              </w:rPr>
              <w:t xml:space="preserve">POST</w:t>
            </w:r>
            <w:r>
              <w:t xml:space="preserve">, нет</w:t>
            </w:r>
            <w:r>
              <w:t xml:space="preserve"> </w:t>
            </w:r>
            <w:r>
              <w:rPr>
                <w:rStyle w:val="VerbatimChar"/>
              </w:rPr>
              <w:t xml:space="preserve">jsonrpc: "2.0"</w:t>
            </w:r>
            <w:r>
              <w:t xml:space="preserve"> </w:t>
            </w:r>
            <w:r>
              <w:t xml:space="preserve">или тело пустое.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-32601</w:t>
            </w:r>
          </w:p>
        </w:tc>
        <w:tc>
          <w:tcPr/>
          <w:p>
            <w:pPr>
              <w:pStyle w:val="Compact"/>
            </w:pPr>
            <w:r>
              <w:t xml:space="preserve">Метод не найден или метод скрыт сервером.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-32602</w:t>
            </w:r>
          </w:p>
        </w:tc>
        <w:tc>
          <w:tcPr/>
          <w:p>
            <w:pPr>
              <w:pStyle w:val="Compact"/>
            </w:pPr>
            <w:r>
              <w:t xml:space="preserve">Некорректные параметры: не хватает обязательного параметра или</w:t>
            </w:r>
            <w:r>
              <w:t xml:space="preserve"> </w:t>
            </w:r>
            <w:r>
              <w:rPr>
                <w:rStyle w:val="VerbatimChar"/>
              </w:rPr>
              <w:t xml:space="preserve">params</w:t>
            </w:r>
            <w:r>
              <w:t xml:space="preserve"> </w:t>
            </w:r>
            <w:r>
              <w:t xml:space="preserve">имеет неподдерживаемый тип.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-32603</w:t>
            </w:r>
          </w:p>
        </w:tc>
        <w:tc>
          <w:tcPr/>
          <w:p>
            <w:pPr>
              <w:pStyle w:val="Compact"/>
            </w:pPr>
            <w:r>
              <w:t xml:space="preserve">Внутренняя ошибка.</w:t>
            </w:r>
          </w:p>
        </w:tc>
      </w:tr>
    </w:tbl>
    <w:p>
      <w:pPr>
        <w:pStyle w:val="BodyText"/>
      </w:pPr>
      <w:r>
        <w:t xml:space="preserve">Ошибки бизнес-операций возвращаются тем модулем, который выполняет операцию:</w:t>
      </w:r>
      <w:r>
        <w:t xml:space="preserve"> </w:t>
      </w:r>
      <w:r>
        <w:rPr>
          <w:rStyle w:val="VerbatimChar"/>
        </w:rPr>
        <w:t xml:space="preserve">Users</w:t>
      </w:r>
      <w:r>
        <w:t xml:space="preserve">,</w:t>
      </w:r>
      <w:r>
        <w:t xml:space="preserve"> </w:t>
      </w:r>
      <w:r>
        <w:rPr>
          <w:rStyle w:val="VerbatimChar"/>
        </w:rPr>
        <w:t xml:space="preserve">RQST</w:t>
      </w:r>
      <w:r>
        <w:t xml:space="preserve">,</w:t>
      </w:r>
      <w:r>
        <w:t xml:space="preserve"> </w:t>
      </w:r>
      <w:r>
        <w:rPr>
          <w:rStyle w:val="VerbatimChar"/>
        </w:rPr>
        <w:t xml:space="preserve">Bookland</w:t>
      </w:r>
      <w:r>
        <w:t xml:space="preserve">,</w:t>
      </w:r>
      <w:r>
        <w:t xml:space="preserve"> </w:t>
      </w:r>
      <w:r>
        <w:rPr>
          <w:rStyle w:val="VerbatimChar"/>
        </w:rPr>
        <w:t xml:space="preserve">EC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. Например, заказ не будет</w:t>
      </w:r>
      <w:r>
        <w:t xml:space="preserve"> </w:t>
      </w:r>
      <w:r>
        <w:t xml:space="preserve">создан, если не найдена запись пользователя, БД каталога не открылась или</w:t>
      </w:r>
      <w:r>
        <w:t xml:space="preserve"> </w:t>
      </w:r>
      <w:r>
        <w:t xml:space="preserve">шифр записи не найден.</w:t>
      </w:r>
    </w:p>
    <w:bookmarkEnd w:id="10"/>
    <w:bookmarkStart w:id="11" w:name="аутентификация-и-доступ"/>
    <w:p>
      <w:pPr>
        <w:pStyle w:val="Heading2"/>
      </w:pPr>
      <w:r>
        <w:t xml:space="preserve">3. Аутентификация и доступ</w:t>
      </w:r>
    </w:p>
    <w:p>
      <w:pPr>
        <w:pStyle w:val="FirstParagraph"/>
      </w:pPr>
      <w:r>
        <w:t xml:space="preserve">Входная точка проходит через обычный запуск ИРБИС 128. Конкретные правила</w:t>
      </w:r>
      <w:r>
        <w:t xml:space="preserve"> </w:t>
      </w:r>
      <w:r>
        <w:t xml:space="preserve">доступа зависят от настроек сайта, авторизации, сессии, веб-сервера и</w:t>
      </w:r>
      <w:r>
        <w:t xml:space="preserve"> </w:t>
      </w:r>
      <w:r>
        <w:t xml:space="preserve">интеграционного контура. Внешнему клиенту нужно использовать тот URL и способ</w:t>
      </w:r>
      <w:r>
        <w:t xml:space="preserve"> </w:t>
      </w:r>
      <w:r>
        <w:t xml:space="preserve">доступа, который выдан администратором системы.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Endpoint и формат обмена</dc:title>
  <dc:creator/>
  <cp:keywords/>
  <dcterms:created xsi:type="dcterms:W3CDTF">2026-11-02T20:28:01Z</dcterms:created>
  <dcterms:modified xsi:type="dcterms:W3CDTF">2026-11-02T20:28:01Z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