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Общие константы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ие-константы"/>
    <w:p>
      <w:pPr>
        <w:pStyle w:val="Heading1"/>
      </w:pPr>
      <w:r>
        <w:t xml:space="preserve">Общие константы</w:t>
      </w:r>
    </w:p>
    <w:p>
      <w:pPr>
        <w:pStyle w:val="FirstParagraph"/>
      </w:pPr>
      <w:r>
        <w:t xml:space="preserve">Код АРМа передаётся в заголовке TCP/IP-запроса и определяет тип клиентского приложения.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Администратор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Каталогизатор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Комплектатор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Читатель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Книговыдача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Общие константы</dc:title>
  <dc:creator/>
  <cp:keywords/>
  <dcterms:created xsi:type="dcterms:W3CDTF">2026-10-15T22:05:31Z</dcterms:created>
  <dcterms:modified xsi:type="dcterms:W3CDTF">2026-10-15T22:05:31Z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