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Простые справочники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простые-справочники"/>
    <w:p>
      <w:pPr>
        <w:pStyle w:val="Heading1"/>
      </w:pPr>
      <w:r>
        <w:t xml:space="preserve">Простые справочники</w:t>
      </w:r>
    </w:p>
    <w:p>
      <w:pPr>
        <w:pStyle w:val="FirstParagraph"/>
      </w:pPr>
      <w:r>
        <w:t xml:space="preserve">Простые (неиерархические) справочники хранятся в текстовых файлах, которые имеют имя с расширением [.MNU] и следующую структуру:</w:t>
      </w:r>
    </w:p>
    <w:p>
      <w:pPr>
        <w:pStyle w:val="SourceCode"/>
      </w:pPr>
      <w:r>
        <w:rPr>
          <w:rStyle w:val="VerbatimChar"/>
        </w:rPr>
        <w:t xml:space="preserve">&lt;1_элемент_меню&gt;</w:t>
      </w:r>
      <w:r>
        <w:br/>
      </w:r>
      <w:r>
        <w:rPr>
          <w:rStyle w:val="VerbatimChar"/>
        </w:rPr>
        <w:t xml:space="preserve">&lt;пояснительный текст для 1 элемента&gt;</w:t>
      </w:r>
      <w:r>
        <w:br/>
      </w:r>
      <w:r>
        <w:rPr>
          <w:rStyle w:val="VerbatimChar"/>
        </w:rPr>
        <w:t xml:space="preserve">&lt;2_элемент_меню&gt;</w:t>
      </w:r>
      <w:r>
        <w:br/>
      </w:r>
      <w:r>
        <w:rPr>
          <w:rStyle w:val="VerbatimChar"/>
        </w:rPr>
        <w:t xml:space="preserve">&lt;пояснительный текст для 2 элемента&gt;</w:t>
      </w:r>
      <w:r>
        <w:br/>
      </w:r>
      <w:r>
        <w:rPr>
          <w:rStyle w:val="VerbatimChar"/>
        </w:rPr>
        <w:t xml:space="preserve">......................</w:t>
      </w:r>
      <w:r>
        <w:br/>
      </w:r>
      <w:r>
        <w:rPr>
          <w:rStyle w:val="VerbatimChar"/>
        </w:rPr>
        <w:t xml:space="preserve">&lt;*****&gt;</w:t>
      </w:r>
    </w:p>
    <w:p>
      <w:pPr>
        <w:pStyle w:val="FirstParagraph"/>
      </w:pPr>
      <w:r>
        <w:t xml:space="preserve">В частном случае пояснительный текст может быть пустым (пустой строкой).</w:t>
      </w:r>
    </w:p>
    <w:p>
      <w:pPr>
        <w:pStyle w:val="BodyText"/>
      </w:pPr>
      <w:r>
        <w:t xml:space="preserve">Строка ***** является признаком логического конца файла.</w:t>
      </w:r>
    </w:p>
    <w:p>
      <w:pPr>
        <w:pStyle w:val="BodyText"/>
      </w:pPr>
      <w:r>
        <w:t xml:space="preserve">Количество строк в файле меню должно быть равно: 2N+1 - где N - количество элементов меню.</w:t>
      </w:r>
    </w:p>
    <w:p>
      <w:pPr>
        <w:pStyle w:val="BodyText"/>
      </w:pPr>
      <w:r>
        <w:t xml:space="preserve">Список основных (неиерархических) справочников, применяемых в системе.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08"/>
        <w:gridCol w:w="718"/>
        <w:gridCol w:w="2088"/>
        <w:gridCol w:w="2785"/>
        <w:gridCol w:w="2219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№ п/п</w:t>
            </w:r>
          </w:p>
        </w:tc>
        <w:tc>
          <w:tcPr/>
          <w:p>
            <w:pPr>
              <w:pStyle w:val="Compact"/>
            </w:pPr>
            <w:r>
              <w:t xml:space="preserve">Имя по умолчанию (без расширения)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  <w:tc>
          <w:tcPr/>
          <w:p>
            <w:pPr>
              <w:pStyle w:val="Compact"/>
            </w:pPr>
            <w:r>
              <w:t xml:space="preserve">Расположение</w:t>
            </w:r>
          </w:p>
        </w:tc>
        <w:tc>
          <w:tcPr/>
          <w:p>
            <w:pPr>
              <w:pStyle w:val="Compact"/>
            </w:pPr>
            <w:r>
              <w:t xml:space="preserve">Пояснения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1.</w:t>
            </w:r>
          </w:p>
        </w:tc>
        <w:tc>
          <w:tcPr/>
          <w:p>
            <w:pPr>
              <w:pStyle w:val="Compact"/>
            </w:pPr>
            <w:r>
              <w:t xml:space="preserve">DBNAM1</w:t>
            </w:r>
          </w:p>
        </w:tc>
        <w:tc>
          <w:tcPr/>
          <w:p>
            <w:pPr>
              <w:pStyle w:val="Compact"/>
            </w:pPr>
            <w:r>
              <w:t xml:space="preserve">Список БД, доступных в АРМе</w:t>
            </w:r>
            <w:r>
              <w:t xml:space="preserve"> </w:t>
            </w:r>
            <w:r>
              <w:t xml:space="preserve">“Администратор”</w:t>
            </w:r>
          </w:p>
        </w:tc>
        <w:tc>
          <w:tcPr/>
          <w:p>
            <w:pPr>
              <w:pStyle w:val="Compact"/>
            </w:pPr>
            <w:r>
              <w:t xml:space="preserve">|Имя определяется параметром DBNNAMECAT в INI-файле АРМа</w:t>
            </w:r>
            <w:r>
              <w:t xml:space="preserve"> </w:t>
            </w:r>
            <w:r>
              <w:t xml:space="preserve">“Администратор”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2.</w:t>
            </w:r>
          </w:p>
        </w:tc>
        <w:tc>
          <w:tcPr/>
          <w:p>
            <w:pPr>
              <w:pStyle w:val="Compact"/>
            </w:pPr>
            <w:r>
              <w:t xml:space="preserve">DBNAM2</w:t>
            </w:r>
          </w:p>
        </w:tc>
        <w:tc>
          <w:tcPr/>
          <w:p>
            <w:pPr>
              <w:pStyle w:val="Compact"/>
            </w:pPr>
            <w:r>
              <w:t xml:space="preserve">Список БД, доступных в АРМах «Каталогизатор», «Комплектатор» и «Книгообеспеченность»</w:t>
            </w:r>
          </w:p>
        </w:tc>
        <w:tc>
          <w:tcPr/>
          <w:p>
            <w:pPr>
              <w:pStyle w:val="Compact"/>
            </w:pPr>
            <w:r>
              <w:t xml:space="preserve">|Имя определяется параметром DBNNAMECAT в INI-файле АРМов</w:t>
            </w:r>
            <w:r>
              <w:t xml:space="preserve"> </w:t>
            </w:r>
            <w:r>
              <w:t xml:space="preserve">“Каталогизатор”</w:t>
            </w:r>
            <w:r>
              <w:t xml:space="preserve">, «Комплектатор» и «Книгообеспеченность»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3.</w:t>
            </w:r>
          </w:p>
        </w:tc>
        <w:tc>
          <w:tcPr/>
          <w:p>
            <w:pPr>
              <w:pStyle w:val="Compact"/>
            </w:pPr>
            <w:r>
              <w:t xml:space="preserve">DBNAM3</w:t>
            </w:r>
          </w:p>
        </w:tc>
        <w:tc>
          <w:tcPr/>
          <w:p>
            <w:pPr>
              <w:pStyle w:val="Compact"/>
            </w:pPr>
            <w:r>
              <w:t xml:space="preserve">Список БД, доступных в АРМе</w:t>
            </w:r>
            <w:r>
              <w:t xml:space="preserve"> </w:t>
            </w:r>
            <w:r>
              <w:t xml:space="preserve">“Читатель”</w:t>
            </w:r>
          </w:p>
        </w:tc>
        <w:tc>
          <w:tcPr/>
          <w:p>
            <w:pPr>
              <w:pStyle w:val="Compact"/>
            </w:pPr>
            <w:r>
              <w:t xml:space="preserve">|Имя определяется параметром DBNNAMECAT в INI-файле АРМа</w:t>
            </w:r>
            <w:r>
              <w:t xml:space="preserve"> </w:t>
            </w:r>
            <w:r>
              <w:t xml:space="preserve">“Читатель”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4.</w:t>
            </w:r>
          </w:p>
        </w:tc>
        <w:tc>
          <w:tcPr/>
          <w:p>
            <w:pPr>
              <w:pStyle w:val="Compact"/>
            </w:pPr>
            <w:r>
              <w:t xml:space="preserve">EXPORTW</w:t>
            </w:r>
          </w:p>
        </w:tc>
        <w:tc>
          <w:tcPr/>
          <w:p>
            <w:pPr>
              <w:pStyle w:val="Compact"/>
            </w:pPr>
            <w:r>
              <w:t xml:space="preserve">Список ТВП переформатирования для экспорта в АРМах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,</w:t>
            </w:r>
            <w:r>
              <w:t xml:space="preserve"> </w:t>
            </w:r>
            <w:r>
              <w:t xml:space="preserve">“Каталогизатор”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“Читатель”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EXPORTMNU в INI-файлах АРМов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,</w:t>
            </w:r>
            <w:r>
              <w:t xml:space="preserve"> </w:t>
            </w:r>
            <w:r>
              <w:t xml:space="preserve">“Каталогизатор”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“Читатель”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5.</w:t>
            </w:r>
          </w:p>
        </w:tc>
        <w:tc>
          <w:tcPr/>
          <w:p>
            <w:pPr>
              <w:pStyle w:val="Compact"/>
            </w:pPr>
            <w:r>
              <w:t xml:space="preserve">FMT</w:t>
            </w:r>
          </w:p>
        </w:tc>
        <w:tc>
          <w:tcPr/>
          <w:p>
            <w:pPr>
              <w:pStyle w:val="Compact"/>
            </w:pPr>
            <w:r>
              <w:t xml:space="preserve">Список доступных РЛ ввода для АРМа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FMTMNU в INI-файле АРМа</w:t>
            </w:r>
            <w:r>
              <w:t xml:space="preserve"> </w:t>
            </w:r>
            <w:r>
              <w:t xml:space="preserve">“Каталогизатор”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6.</w:t>
            </w:r>
          </w:p>
        </w:tc>
        <w:tc>
          <w:tcPr/>
          <w:p>
            <w:pPr>
              <w:pStyle w:val="Compact"/>
            </w:pPr>
            <w:r>
              <w:t xml:space="preserve">FORMATW</w:t>
            </w:r>
          </w:p>
        </w:tc>
        <w:tc>
          <w:tcPr/>
          <w:p>
            <w:pPr>
              <w:pStyle w:val="Compact"/>
            </w:pPr>
            <w:r>
              <w:t xml:space="preserve">Список доступных форматов показа для АРМа</w:t>
            </w:r>
            <w:r>
              <w:t xml:space="preserve"> </w:t>
            </w:r>
            <w:r>
              <w:t xml:space="preserve">“Читатель”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PFTMNU в INI-файле АРМа</w:t>
            </w:r>
            <w:r>
              <w:t xml:space="preserve"> </w:t>
            </w:r>
            <w:r>
              <w:t xml:space="preserve">“Читатель”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7.</w:t>
            </w:r>
          </w:p>
        </w:tc>
        <w:tc>
          <w:tcPr/>
          <w:p>
            <w:pPr>
              <w:pStyle w:val="Compact"/>
            </w:pPr>
            <w:r>
              <w:t xml:space="preserve">FST</w:t>
            </w:r>
          </w:p>
        </w:tc>
        <w:tc>
          <w:tcPr/>
          <w:p>
            <w:pPr>
              <w:pStyle w:val="Compact"/>
            </w:pPr>
            <w:r>
              <w:t xml:space="preserve">Список ТВП переформатирования для копирования в АРМах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COPYMNU в INI-файлах АРМов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“Каталогизатор”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8.</w:t>
            </w:r>
          </w:p>
        </w:tc>
        <w:tc>
          <w:tcPr/>
          <w:p>
            <w:pPr>
              <w:pStyle w:val="Compact"/>
            </w:pPr>
            <w:r>
              <w:t xml:space="preserve">IMPORTW</w:t>
            </w:r>
          </w:p>
        </w:tc>
        <w:tc>
          <w:tcPr/>
          <w:p>
            <w:pPr>
              <w:pStyle w:val="Compact"/>
            </w:pPr>
            <w:r>
              <w:t xml:space="preserve">Список ТВП переформатирования для импорта в АРМах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IMPORTMNU в INI-файлах АРМов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“Каталогизатор”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9.</w:t>
            </w:r>
          </w:p>
        </w:tc>
        <w:tc>
          <w:tcPr/>
          <w:p>
            <w:pPr>
              <w:pStyle w:val="Compact"/>
            </w:pPr>
            <w:r>
              <w:t xml:space="preserve">IRI</w:t>
            </w:r>
          </w:p>
        </w:tc>
        <w:tc>
          <w:tcPr/>
          <w:p>
            <w:pPr>
              <w:pStyle w:val="Compact"/>
            </w:pPr>
            <w:r>
              <w:t xml:space="preserve">Список постоянных запросов для АРМов</w:t>
            </w:r>
            <w:r>
              <w:t xml:space="preserve"> </w:t>
            </w:r>
            <w:r>
              <w:t xml:space="preserve">“Каталогизатор”</w:t>
            </w:r>
            <w:r>
              <w:t xml:space="preserve"> </w:t>
            </w:r>
            <w:r>
              <w:t xml:space="preserve">и «Читатель»</w:t>
            </w:r>
          </w:p>
        </w:tc>
        <w:tc>
          <w:tcPr/>
          <w:p>
            <w:pPr>
              <w:pStyle w:val="Compact"/>
            </w:pPr>
            <w:r>
              <w:t xml:space="preserve">В основной директории системы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IRIMNU в INI-файле АРМов</w:t>
            </w:r>
            <w:r>
              <w:t xml:space="preserve"> </w:t>
            </w:r>
            <w:r>
              <w:t xml:space="preserve">“Каталогизатор”</w:t>
            </w:r>
            <w:r>
              <w:t xml:space="preserve"> </w:t>
            </w:r>
            <w:r>
              <w:t xml:space="preserve">и «Читатель»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10.</w:t>
            </w:r>
          </w:p>
        </w:tc>
        <w:tc>
          <w:tcPr/>
          <w:p>
            <w:pPr>
              <w:pStyle w:val="Compact"/>
            </w:pPr>
            <w:r>
              <w:t xml:space="preserve">JZ</w:t>
            </w:r>
          </w:p>
        </w:tc>
        <w:tc>
          <w:tcPr/>
          <w:p>
            <w:pPr>
              <w:pStyle w:val="Compact"/>
            </w:pPr>
            <w:r>
              <w:t xml:space="preserve">Список кодов языков</w:t>
            </w:r>
          </w:p>
        </w:tc>
        <w:tc>
          <w:tcPr/>
          <w:p>
            <w:pPr>
              <w:pStyle w:val="Compact"/>
            </w:pPr>
            <w:r>
              <w:t xml:space="preserve">В основной директории системы</w:t>
            </w:r>
            <w:r>
              <w:t xml:space="preserve"> </w:t>
            </w:r>
            <w:r>
              <w:t xml:space="preserve"> </w:t>
            </w:r>
            <w:r>
              <w:t xml:space="preserve">и в директориях БД ЭК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11.</w:t>
            </w:r>
          </w:p>
        </w:tc>
        <w:tc>
          <w:tcPr/>
          <w:p>
            <w:pPr>
              <w:pStyle w:val="Compact"/>
            </w:pPr>
            <w:r>
              <w:t xml:space="preserve">PFTW</w:t>
            </w:r>
          </w:p>
        </w:tc>
        <w:tc>
          <w:tcPr/>
          <w:p>
            <w:pPr>
              <w:pStyle w:val="Compact"/>
            </w:pPr>
            <w:r>
              <w:t xml:space="preserve">Список доступных форматов показа для АРМа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PFTMNU в INI-файле АРМа</w:t>
            </w:r>
            <w:r>
              <w:t xml:space="preserve"> </w:t>
            </w:r>
            <w:r>
              <w:t xml:space="preserve">“Каталогизатор”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12.</w:t>
            </w:r>
          </w:p>
        </w:tc>
        <w:tc>
          <w:tcPr/>
          <w:p>
            <w:pPr>
              <w:pStyle w:val="Compact"/>
            </w:pPr>
            <w:r>
              <w:t xml:space="preserve">SORT</w:t>
            </w:r>
          </w:p>
        </w:tc>
        <w:tc>
          <w:tcPr/>
          <w:p>
            <w:pPr>
              <w:pStyle w:val="Compact"/>
            </w:pPr>
            <w:r>
              <w:t xml:space="preserve">Список ключей сортировки результатов поиска в АРМе</w:t>
            </w:r>
            <w:r>
              <w:t xml:space="preserve"> </w:t>
            </w:r>
            <w:r>
              <w:t xml:space="preserve">“Читатель”</w:t>
            </w:r>
            <w:r>
              <w:t xml:space="preserve"> </w:t>
            </w:r>
            <w:r>
              <w:t xml:space="preserve">и «Каталогизатор»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SORTMNU в INI-файле АРМа</w:t>
            </w:r>
            <w:r>
              <w:t xml:space="preserve"> </w:t>
            </w:r>
            <w:r>
              <w:t xml:space="preserve">“Читатель”</w:t>
            </w:r>
            <w:r>
              <w:t xml:space="preserve"> </w:t>
            </w:r>
            <w:r>
              <w:t xml:space="preserve">и «Каталогизатор»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13.</w:t>
            </w:r>
          </w:p>
        </w:tc>
        <w:tc>
          <w:tcPr/>
          <w:p>
            <w:pPr>
              <w:pStyle w:val="Compact"/>
            </w:pPr>
            <w:r>
              <w:t xml:space="preserve">STR</w:t>
            </w:r>
          </w:p>
        </w:tc>
        <w:tc>
          <w:tcPr/>
          <w:p>
            <w:pPr>
              <w:pStyle w:val="Compact"/>
            </w:pPr>
            <w:r>
              <w:t xml:space="preserve">Список кодов стран</w:t>
            </w:r>
          </w:p>
        </w:tc>
        <w:tc>
          <w:tcPr/>
          <w:p>
            <w:pPr>
              <w:pStyle w:val="Compact"/>
            </w:pPr>
            <w:r>
              <w:t xml:space="preserve">В основной директории системы</w:t>
            </w:r>
            <w:r>
              <w:t xml:space="preserve"> </w:t>
            </w:r>
            <w:r>
              <w:t xml:space="preserve"> </w:t>
            </w:r>
            <w:r>
              <w:t xml:space="preserve">и в директориях БД ЭК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14.</w:t>
            </w:r>
          </w:p>
        </w:tc>
        <w:tc>
          <w:tcPr/>
          <w:p>
            <w:pPr>
              <w:pStyle w:val="Compact"/>
            </w:pPr>
            <w:r>
              <w:t xml:space="preserve">STT</w:t>
            </w:r>
          </w:p>
        </w:tc>
        <w:tc>
          <w:tcPr/>
          <w:p>
            <w:pPr>
              <w:pStyle w:val="Compact"/>
            </w:pPr>
            <w:r>
              <w:t xml:space="preserve">Список видов статистики для АРМа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STTMNU в INI-файле АРМа «Каталогизатор»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15.</w:t>
            </w:r>
          </w:p>
        </w:tc>
        <w:tc>
          <w:tcPr/>
          <w:p>
            <w:pPr>
              <w:pStyle w:val="Compact"/>
            </w:pPr>
            <w:r>
              <w:t xml:space="preserve">TABW</w:t>
            </w:r>
          </w:p>
        </w:tc>
        <w:tc>
          <w:tcPr/>
          <w:p>
            <w:pPr>
              <w:pStyle w:val="Compact"/>
            </w:pPr>
            <w:r>
              <w:t xml:space="preserve">Список доступных табличных форм для АРМа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TABMNU в INI-файле АРМа</w:t>
            </w:r>
            <w:r>
              <w:t xml:space="preserve"> </w:t>
            </w:r>
            <w:r>
              <w:t xml:space="preserve">“Каталогизатор”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16.</w:t>
            </w:r>
          </w:p>
        </w:tc>
        <w:tc>
          <w:tcPr/>
          <w:p>
            <w:pPr>
              <w:pStyle w:val="Compact"/>
            </w:pPr>
            <w:r>
              <w:t xml:space="preserve">UNICODE</w:t>
            </w:r>
          </w:p>
        </w:tc>
        <w:tc>
          <w:tcPr/>
          <w:p>
            <w:pPr>
              <w:pStyle w:val="Compact"/>
            </w:pPr>
            <w:r>
              <w:t xml:space="preserve">Список кодовых наборов для ввода символов UNICODE</w:t>
            </w:r>
          </w:p>
        </w:tc>
        <w:tc>
          <w:tcPr/>
          <w:p>
            <w:pPr>
              <w:pStyle w:val="Compact"/>
            </w:pPr>
            <w:r>
              <w:t xml:space="preserve">В основной директории системы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UNICODEMNU в INI-файле АРМа «Каталогизатор»</w:t>
            </w:r>
          </w:p>
        </w:tc>
      </w:tr>
    </w:tbl>
    <w:p>
      <w:pPr>
        <w:pStyle w:val="BodyText"/>
      </w:pPr>
      <w:r>
        <w:t xml:space="preserve">Ряд справочников, содержащих библиографические и специфические технологические данные (в т.ч. те, что подлежат обязательной настройке со стороны пользователя) описаны в Инструкциях каталогизатора и комплектатора.</w:t>
      </w:r>
    </w:p>
    <w:p>
      <w:pPr>
        <w:pStyle w:val="BodyText"/>
      </w:pPr>
      <w:r>
        <w:t xml:space="preserve">Для создания и корректировки неиерархических справочников служит специальный редактор, который запускается из АРМа</w:t>
      </w:r>
      <w:r>
        <w:t xml:space="preserve"> </w:t>
      </w:r>
      <w:r>
        <w:t xml:space="preserve">“Администратор”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Простые справочники</dc:title>
  <dc:creator/>
  <cp:keywords/>
  <dcterms:created xsi:type="dcterms:W3CDTF">2026-08-27T20:16:24Z</dcterms:created>
  <dcterms:modified xsi:type="dcterms:W3CDTF">2026-08-27T20:16:24Z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